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6B7280"/>
          <w:sz w:val="16"/>
        </w:rPr>
        <w:t>VELOCITY GTM CO  ·  ServiceBridge GTM  ·  Threshold Brands  ·  Track 2 P2 #3</w:t>
      </w:r>
    </w:p>
    <w:p>
      <w:pPr>
        <w:spacing w:after="40"/>
      </w:pPr>
      <w:r>
        <w:rPr>
          <w:rFonts w:ascii="Calibri" w:hAnsi="Calibri"/>
          <w:b/>
          <w:color w:val="1A2B3C"/>
          <w:sz w:val="44"/>
        </w:rPr>
        <w:t>Miracle Method</w:t>
      </w:r>
    </w:p>
    <w:p>
      <w:pPr>
        <w:spacing w:after="160"/>
      </w:pPr>
      <w:r>
        <w:rPr>
          <w:rFonts w:ascii="Calibri" w:hAnsi="Calibri"/>
          <w:b/>
          <w:color w:val="185FA5"/>
          <w:sz w:val="20"/>
        </w:rPr>
        <w:t>Score 65  ·  Tier T4  ·  Character: BATH/SURFACE REFINISHING · ACQUIRED 2024</w:t>
      </w:r>
    </w:p>
    <w:p>
      <w:pPr>
        <w:spacing w:after="160"/>
        <w:pBdr>
          <w:bottom w:val="single" w:sz="8" w:color="185FA5"/>
        </w:pBdr>
      </w:pPr>
    </w:p>
    <w:p>
      <w:pPr>
        <w:spacing w:after="160"/>
      </w:pPr>
      <w:r>
        <w:rPr>
          <w:rFonts w:ascii="Calibri" w:hAnsi="Calibri"/>
          <w:i/>
          <w:color w:val="374151"/>
          <w:sz w:val="20"/>
        </w:rPr>
        <w:t>Bath, kitchen, tile, shower refinishing · Largest US refinishing franchise · Colorado Springs HQ · Acquired by Threshold April 2024 · John Tubiolo Brand Leader</w:t>
      </w:r>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LOCATIONS</w:t>
            </w:r>
          </w:p>
          <w:p>
            <w:pPr>
              <w:spacing w:after="0"/>
            </w:pPr>
            <w:r>
              <w:rPr>
                <w:rFonts w:ascii="Calibri" w:hAnsi="Calibri"/>
                <w:b/>
                <w:color w:val="1A2B3C"/>
                <w:sz w:val="22"/>
              </w:rPr>
              <w:t>150</w:t>
            </w:r>
          </w:p>
        </w:tc>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TECHS / LOC</w:t>
            </w:r>
          </w:p>
          <w:p>
            <w:pPr>
              <w:spacing w:after="0"/>
            </w:pPr>
            <w:r>
              <w:rPr>
                <w:rFonts w:ascii="Calibri" w:hAnsi="Calibri"/>
                <w:b/>
                <w:color w:val="1A2B3C"/>
                <w:sz w:val="22"/>
              </w:rPr>
              <w:t>2</w:t>
            </w:r>
          </w:p>
        </w:tc>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TOTAL / ENGAGEABLE</w:t>
            </w:r>
          </w:p>
          <w:p>
            <w:pPr>
              <w:spacing w:after="0"/>
            </w:pPr>
            <w:r>
              <w:rPr>
                <w:rFonts w:ascii="Calibri" w:hAnsi="Calibri"/>
                <w:b/>
                <w:color w:val="1A2B3C"/>
                <w:sz w:val="22"/>
              </w:rPr>
              <w:t>300 / 300</w:t>
            </w:r>
          </w:p>
        </w:tc>
        <w:tc>
          <w:tcPr>
            <w:tcW w:type="dxa" w:w="2520"/>
            <w:shd w:val="clear" w:color="auto" w:fill="F7F8FA"/>
            <w:tcBorders>
              <w:top w:val="single" w:sz="4" w:color="E5E7EB"/>
              <w:left w:val="single" w:sz="4" w:color="E5E7EB"/>
              <w:bottom w:val="single" w:sz="4" w:color="E5E7EB"/>
              <w:right w:val="single" w:sz="4" w:color="E5E7EB"/>
            </w:tcBorders>
          </w:tcPr>
          <w:p>
            <w:pPr>
              <w:spacing w:after="40"/>
            </w:pPr>
            <w:r>
              <w:rPr>
                <w:rFonts w:ascii="Calibri" w:hAnsi="Calibri"/>
                <w:b/>
                <w:color w:val="6B7280"/>
                <w:sz w:val="16"/>
              </w:rPr>
              <w:t>Y1 ARR @ 10%</w:t>
            </w:r>
          </w:p>
          <w:p>
            <w:pPr>
              <w:spacing w:after="0"/>
            </w:pPr>
            <w:r>
              <w:rPr>
                <w:rFonts w:ascii="Calibri" w:hAnsi="Calibri"/>
                <w:b/>
                <w:color w:val="1A2B3C"/>
                <w:sz w:val="22"/>
              </w:rPr>
              <w:t>$9K</w:t>
            </w:r>
          </w:p>
        </w:tc>
      </w:tr>
    </w:tbl>
    <w:p>
      <w:pPr>
        <w:spacing w:after="80"/>
      </w:pPr>
    </w:p>
    <w:tbl>
      <w:tblPr>
        <w:tblW w:type="auto" w:w="0"/>
        <w:jc w:val="center"/>
        <w:tblLayout w:type="autofit"/>
        <w:tblLook w:firstColumn="1" w:firstRow="1" w:lastColumn="0" w:lastRow="0" w:noHBand="0" w:noVBand="1" w:val="04A0"/>
      </w:tblPr>
      <w:tblGrid>
        <w:gridCol w:w="10080"/>
      </w:tblGrid>
      <w:tr>
        <w:tc>
          <w:tcPr>
            <w:tcW w:type="dxa" w:w="10080"/>
            <w:shd w:val="clear" w:color="auto" w:fill="FFF8E1"/>
            <w:tcBorders>
              <w:top w:val="single" w:sz="6" w:color="B8860B"/>
              <w:left w:val="single" w:sz="6" w:color="B8860B"/>
              <w:bottom w:val="single" w:sz="6" w:color="B8860B"/>
              <w:right w:val="single" w:sz="6" w:color="B8860B"/>
            </w:tcBorders>
          </w:tcPr>
          <w:p>
            <w:pPr>
              <w:spacing w:after="80"/>
            </w:pPr>
            <w:r>
              <w:rPr>
                <w:rFonts w:ascii="Calibri" w:hAnsi="Calibri"/>
                <w:b/>
                <w:color w:val="B8860B"/>
                <w:sz w:val="18"/>
              </w:rPr>
              <w:t>MY READ</w:t>
            </w:r>
          </w:p>
          <w:p>
            <w:pPr>
              <w:spacing w:after="120"/>
            </w:pPr>
            <w:r>
              <w:rPr>
                <w:rFonts w:ascii="Calibri" w:hAnsi="Calibri"/>
                <w:b/>
                <w:color w:val="1A2B3C"/>
                <w:sz w:val="24"/>
              </w:rPr>
              <w:t>Miracle Method is the largest bath/kitchen surface refinishing franchise in the US. Acquired by Threshold April 2024 — under 18 months in portfolio by mid-2026. John Tubiolo Brand Leader.</w:t>
            </w:r>
          </w:p>
          <w:p>
            <w:pPr>
              <w:spacing w:after="80" w:line="312" w:lineRule="auto"/>
            </w:pPr>
            <w:r>
              <w:rPr>
                <w:rFonts w:ascii="Calibri" w:hAnsi="Calibri"/>
                <w:color w:val="374151"/>
                <w:sz w:val="20"/>
              </w:rPr>
              <w:t>Miracle Method joined Threshold in April 2024 — making it the most recent Threshold acquisition in the engageable set. Per the announcement: 'The product itself is, in fact, a miracle.' — Ted DeMarino. The brand refinishes countertops, tile, showers, bathtubs at significant cost savings vs. replacement. John Tubiolo (previously Senior VP Sales and Development) was promoted to Brand Leader at acquisition. Per Threshold's earlier interview: due diligence period was shorter than normal because 'the company was run so well.'</w:t>
            </w:r>
          </w:p>
          <w:p>
            <w:pPr>
              <w:spacing w:after="80" w:line="312" w:lineRule="auto"/>
            </w:pPr>
            <w:r>
              <w:rPr>
                <w:rFonts w:ascii="Calibri" w:hAnsi="Calibri"/>
                <w:color w:val="374151"/>
                <w:sz w:val="20"/>
              </w:rPr>
              <w:t>From a ServiceBridge fit perspective, this is project-based work — discovery, quote, prep, refinish, cure. 1-2 person crews per truck, 2-3 day jobs typically. Lower fit than recurring routes, but workflow + customer-text strength matters: homeowners want updates during cure period, before/after photos for sales process, change-order management. Smaller individual deals (300 techs · $9K Y1).</w:t>
            </w:r>
          </w:p>
          <w:p>
            <w:pPr>
              <w:spacing w:after="80" w:line="312" w:lineRule="auto"/>
            </w:pPr>
            <w:r>
              <w:rPr>
                <w:rFonts w:ascii="Calibri" w:hAnsi="Calibri"/>
                <w:color w:val="374151"/>
                <w:sz w:val="20"/>
              </w:rPr>
              <w:t>Strategic position: complementary brand within the Threshold portfolio. Don't lead with Miracle Method. Lead with Pestmaster (GPSI bundle wedge) + MaidPro (HOODZ-pattern). Miracle Method follows as portfolio extension after primary wedges land.</w:t>
            </w:r>
          </w:p>
        </w:tc>
      </w:tr>
    </w:tbl>
    <w:p>
      <w:pPr>
        <w:spacing w:after="80"/>
      </w:pPr>
    </w:p>
    <w:p>
      <w:pPr>
        <w:spacing w:before="160" w:after="80"/>
      </w:pPr>
      <w:r>
        <w:rPr>
          <w:rFonts w:ascii="Calibri" w:hAnsi="Calibri"/>
          <w:b/>
          <w:color w:val="1A2B3C"/>
          <w:sz w:val="26"/>
        </w:rPr>
        <w:t>DIMENSION SCORING  ·  6 LENSES</w:t>
      </w:r>
    </w:p>
    <w:tbl>
      <w:tblPr>
        <w:tblW w:type="auto" w:w="0"/>
        <w:jc w:val="center"/>
        <w:tblLook w:firstColumn="1" w:firstRow="1" w:lastColumn="0" w:lastRow="0" w:noHBand="0" w:noVBand="1" w:val="04A0"/>
      </w:tblPr>
      <w:tblGrid>
        <w:gridCol w:w="3360"/>
        <w:gridCol w:w="3360"/>
        <w:gridCol w:w="3360"/>
      </w:tblGrid>
      <w:tr>
        <w:tc>
          <w:tcPr>
            <w:tcW w:type="dxa" w:w="2016"/>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DIMENSION</w:t>
            </w:r>
          </w:p>
        </w:tc>
        <w:tc>
          <w:tcPr>
            <w:tcW w:type="dxa" w:w="1296"/>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FLAG</w:t>
            </w:r>
          </w:p>
        </w:tc>
        <w:tc>
          <w:tcPr>
            <w:tcW w:type="dxa" w:w="6768"/>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NARRATIVE</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Greenfield Posture</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Not ST-mandated. Newest engageable Threshold brand (April 2024). Real greenfield.</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Persona Access</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John Tubiolo (Brand Leader since 2024 acquisition). Ted DeMarino CEO Threshold has positive personal opinion of brand.</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Commercial / Consumer Mix</w:t>
            </w:r>
          </w:p>
        </w:tc>
        <w:tc>
          <w:tcPr>
            <w:tcW w:type="dxa" w:w="1296"/>
            <w:tcBorders>
              <w:top w:val="single" w:sz="4" w:color="CCCCCC"/>
              <w:left w:val="single" w:sz="4" w:color="CCCCCC"/>
              <w:bottom w:val="single" w:sz="4" w:color="CCCCCC"/>
              <w:right w:val="single" w:sz="4" w:color="CCCCCC"/>
            </w:tcBorders>
            <w:shd w:val="clear" w:color="auto" w:fill="FFF1E0"/>
          </w:tcPr>
          <w:p>
            <w:pPr>
              <w:spacing w:after="0"/>
              <w:jc w:val="center"/>
            </w:pPr>
            <w:r>
              <w:rPr>
                <w:rFonts w:ascii="Calibri" w:hAnsi="Calibri"/>
                <w:b/>
                <w:color w:val="C25E1A"/>
                <w:sz w:val="18"/>
              </w:rPr>
              <w:t>CAUTION</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Primarily residential homeowner refinishing. Some light commercial. Project-based, lower density.</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BPO in place</w:t>
            </w:r>
          </w:p>
        </w:tc>
        <w:tc>
          <w:tcPr>
            <w:tcW w:type="dxa" w:w="1296"/>
            <w:tcBorders>
              <w:top w:val="single" w:sz="4" w:color="CCCCCC"/>
              <w:left w:val="single" w:sz="4" w:color="CCCCCC"/>
              <w:bottom w:val="single" w:sz="4" w:color="CCCCCC"/>
              <w:right w:val="single" w:sz="4" w:color="CCCCCC"/>
            </w:tcBorders>
            <w:shd w:val="clear" w:color="auto" w:fill="F3F4F6"/>
          </w:tcPr>
          <w:p>
            <w:pPr>
              <w:spacing w:after="0"/>
              <w:jc w:val="center"/>
            </w:pPr>
            <w:r>
              <w:rPr>
                <w:rFonts w:ascii="Calibri" w:hAnsi="Calibri"/>
                <w:b/>
                <w:color w:val="6B7280"/>
                <w:sz w:val="18"/>
              </w:rPr>
              <w:t>UNKNOWN</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Threshold corporate. Validate.</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QuickBooks deployed</w:t>
            </w:r>
          </w:p>
        </w:tc>
        <w:tc>
          <w:tcPr>
            <w:tcW w:type="dxa" w:w="1296"/>
            <w:tcBorders>
              <w:top w:val="single" w:sz="4" w:color="CCCCCC"/>
              <w:left w:val="single" w:sz="4" w:color="CCCCCC"/>
              <w:bottom w:val="single" w:sz="4" w:color="CCCCCC"/>
              <w:right w:val="single" w:sz="4" w:color="CCCCCC"/>
            </w:tcBorders>
            <w:shd w:val="clear" w:color="auto" w:fill="F3F4F6"/>
          </w:tcPr>
          <w:p>
            <w:pPr>
              <w:spacing w:after="0"/>
              <w:jc w:val="center"/>
            </w:pPr>
            <w:r>
              <w:rPr>
                <w:rFonts w:ascii="Calibri" w:hAnsi="Calibri"/>
                <w:b/>
                <w:color w:val="6B7280"/>
                <w:sz w:val="18"/>
              </w:rPr>
              <w:t>UNKNOWN</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Refinishing franchisees = typical QB users. Validate.</w:t>
            </w:r>
          </w:p>
        </w:tc>
      </w:tr>
      <w:tr>
        <w:tc>
          <w:tcPr>
            <w:tcW w:type="dxa" w:w="2016"/>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Events attended</w:t>
            </w:r>
          </w:p>
        </w:tc>
        <w:tc>
          <w:tcPr>
            <w:tcW w:type="dxa" w:w="1296"/>
            <w:tcBorders>
              <w:top w:val="single" w:sz="4" w:color="CCCCCC"/>
              <w:left w:val="single" w:sz="4" w:color="CCCCCC"/>
              <w:bottom w:val="single" w:sz="4" w:color="CCCCCC"/>
              <w:right w:val="single" w:sz="4" w:color="CCCCCC"/>
            </w:tcBorders>
            <w:shd w:val="clear" w:color="auto" w:fill="E8F4EE"/>
          </w:tcPr>
          <w:p>
            <w:pPr>
              <w:spacing w:after="0"/>
              <w:jc w:val="center"/>
            </w:pPr>
            <w:r>
              <w:rPr>
                <w:rFonts w:ascii="Calibri" w:hAnsi="Calibri"/>
                <w:b/>
                <w:color w:val="2D6A4F"/>
                <w:sz w:val="18"/>
              </w:rPr>
              <w:t>STRONG</w:t>
            </w:r>
          </w:p>
        </w:tc>
        <w:tc>
          <w:tcPr>
            <w:tcW w:type="dxa" w:w="6768"/>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Threshold Brands Summit. KBIS (Kitchen &amp; Bath Industry Show). Surface Care Industry events.</w:t>
            </w:r>
          </w:p>
        </w:tc>
      </w:tr>
    </w:tbl>
    <w:p>
      <w:pPr>
        <w:spacing w:after="80"/>
      </w:pPr>
    </w:p>
    <w:p>
      <w:pPr>
        <w:spacing w:before="160" w:after="80"/>
      </w:pPr>
      <w:r>
        <w:rPr>
          <w:rFonts w:ascii="Calibri" w:hAnsi="Calibri"/>
          <w:b/>
          <w:color w:val="1A2B3C"/>
          <w:sz w:val="26"/>
        </w:rPr>
        <w:t>WHAT WE'D LEVERAGE  ·  WHAT WE'D CHALLENGE</w:t>
      </w:r>
    </w:p>
    <w:tbl>
      <w:tblPr>
        <w:tblW w:type="auto" w:w="0"/>
        <w:jc w:val="center"/>
        <w:tblLook w:firstColumn="1" w:firstRow="1" w:lastColumn="0" w:lastRow="0" w:noHBand="0" w:noVBand="1" w:val="04A0"/>
      </w:tblPr>
      <w:tblGrid>
        <w:gridCol w:w="5040"/>
        <w:gridCol w:w="5040"/>
      </w:tblGrid>
      <w:tr>
        <w:tc>
          <w:tcPr>
            <w:tcW w:type="dxa" w:w="5040"/>
            <w:shd w:val="clear" w:color="auto" w:fill="E8F4EE"/>
            <w:tcBorders>
              <w:top w:val="single" w:sz="6" w:color="2D6A4F"/>
              <w:left w:val="single" w:sz="6" w:color="2D6A4F"/>
              <w:bottom w:val="single" w:sz="6" w:color="2D6A4F"/>
              <w:right w:val="single" w:sz="6" w:color="2D6A4F"/>
            </w:tcBorders>
          </w:tcPr>
          <w:p>
            <w:pPr>
              <w:spacing w:after="0"/>
            </w:pPr>
            <w:r>
              <w:rPr>
                <w:rFonts w:ascii="Calibri" w:hAnsi="Calibri"/>
                <w:b/>
                <w:color w:val="2D6A4F"/>
                <w:sz w:val="20"/>
              </w:rPr>
              <w:t>WHAT WE'D LEVERAGE</w:t>
            </w:r>
          </w:p>
        </w:tc>
        <w:tc>
          <w:tcPr>
            <w:tcW w:type="dxa" w:w="5040"/>
            <w:shd w:val="clear" w:color="auto" w:fill="F4D9D9"/>
            <w:tcBorders>
              <w:top w:val="single" w:sz="6" w:color="A32D2D"/>
              <w:left w:val="single" w:sz="6" w:color="A32D2D"/>
              <w:bottom w:val="single" w:sz="6" w:color="A32D2D"/>
              <w:right w:val="single" w:sz="6" w:color="A32D2D"/>
            </w:tcBorders>
          </w:tcPr>
          <w:p>
            <w:pPr>
              <w:spacing w:after="0"/>
            </w:pPr>
            <w:r>
              <w:rPr>
                <w:rFonts w:ascii="Calibri" w:hAnsi="Calibri"/>
                <w:b/>
                <w:color w:val="A32D2D"/>
                <w:sz w:val="20"/>
              </w:rPr>
              <w:t>WHAT WE'D CHALLENGE</w:t>
            </w:r>
          </w:p>
        </w:tc>
      </w:tr>
      <w:tr>
        <w:tc>
          <w:tcPr>
            <w:tcW w:type="dxa" w:w="5040"/>
            <w:tcBorders>
              <w:top w:val="single" w:sz="4" w:color="2D6A4F"/>
              <w:left w:val="single" w:sz="4" w:color="2D6A4F"/>
              <w:bottom w:val="single" w:sz="4" w:color="2D6A4F"/>
              <w:right w:val="single" w:sz="4" w:color="2D6A4F"/>
            </w:tcBorders>
          </w:tcPr>
          <w:p>
            <w:pPr>
              <w:spacing w:after="0"/>
            </w:pPr>
            <w:r/>
          </w:p>
          <w:p>
            <w:pPr>
              <w:spacing w:after="60"/>
              <w:ind w:left="144"/>
            </w:pPr>
            <w:r>
              <w:rPr>
                <w:rFonts w:ascii="Calibri" w:hAnsi="Calibri"/>
                <w:b/>
                <w:color w:val="2D6A4F"/>
                <w:sz w:val="20"/>
              </w:rPr>
              <w:t xml:space="preserve">▸ </w:t>
            </w:r>
            <w:r>
              <w:rPr>
                <w:rFonts w:ascii="Calibri" w:hAnsi="Calibri"/>
                <w:color w:val="374151"/>
                <w:sz w:val="18"/>
              </w:rPr>
              <w:t>John Tubiolo Brand Leader (since 2024). Operationally knowledgeable.</w:t>
            </w:r>
          </w:p>
          <w:p>
            <w:pPr>
              <w:spacing w:after="60"/>
              <w:ind w:left="144"/>
            </w:pPr>
            <w:r>
              <w:rPr>
                <w:rFonts w:ascii="Calibri" w:hAnsi="Calibri"/>
                <w:b/>
                <w:color w:val="2D6A4F"/>
                <w:sz w:val="20"/>
              </w:rPr>
              <w:t xml:space="preserve">▸ </w:t>
            </w:r>
            <w:r>
              <w:rPr>
                <w:rFonts w:ascii="Calibri" w:hAnsi="Calibri"/>
                <w:color w:val="374151"/>
                <w:sz w:val="18"/>
              </w:rPr>
              <w:t>Ted DeMarino has positive personal opinion of brand. CEO sponsorship.</w:t>
            </w:r>
          </w:p>
          <w:p>
            <w:pPr>
              <w:spacing w:after="60"/>
              <w:ind w:left="144"/>
            </w:pPr>
            <w:r>
              <w:rPr>
                <w:rFonts w:ascii="Calibri" w:hAnsi="Calibri"/>
                <w:b/>
                <w:color w:val="2D6A4F"/>
                <w:sz w:val="20"/>
              </w:rPr>
              <w:t xml:space="preserve">▸ </w:t>
            </w:r>
            <w:r>
              <w:rPr>
                <w:rFonts w:ascii="Calibri" w:hAnsi="Calibri"/>
                <w:color w:val="374151"/>
                <w:sz w:val="18"/>
              </w:rPr>
              <w:t>Newest engageable Threshold brand. Most open posture.</w:t>
            </w:r>
          </w:p>
          <w:p>
            <w:pPr>
              <w:spacing w:after="60"/>
              <w:ind w:left="144"/>
            </w:pPr>
            <w:r>
              <w:rPr>
                <w:rFonts w:ascii="Calibri" w:hAnsi="Calibri"/>
                <w:b/>
                <w:color w:val="2D6A4F"/>
                <w:sz w:val="20"/>
              </w:rPr>
              <w:t xml:space="preserve">▸ </w:t>
            </w:r>
            <w:r>
              <w:rPr>
                <w:rFonts w:ascii="Calibri" w:hAnsi="Calibri"/>
                <w:color w:val="374151"/>
                <w:sz w:val="18"/>
              </w:rPr>
              <w:t>Photo documentation native ServiceBridge strength. Before/after refinishing shots = sales process.</w:t>
            </w:r>
          </w:p>
          <w:p>
            <w:pPr>
              <w:spacing w:after="60"/>
              <w:ind w:left="144"/>
            </w:pPr>
            <w:r>
              <w:rPr>
                <w:rFonts w:ascii="Calibri" w:hAnsi="Calibri"/>
                <w:b/>
                <w:color w:val="2D6A4F"/>
                <w:sz w:val="20"/>
              </w:rPr>
              <w:t xml:space="preserve">▸ </w:t>
            </w:r>
            <w:r>
              <w:rPr>
                <w:rFonts w:ascii="Calibri" w:hAnsi="Calibri"/>
                <w:color w:val="374151"/>
                <w:sz w:val="18"/>
              </w:rPr>
              <w:t>Premium positioning. Not commodity work.</w:t>
            </w:r>
          </w:p>
        </w:tc>
        <w:tc>
          <w:tcPr>
            <w:tcW w:type="dxa" w:w="5040"/>
            <w:tcBorders>
              <w:top w:val="single" w:sz="4" w:color="A32D2D"/>
              <w:left w:val="single" w:sz="4" w:color="A32D2D"/>
              <w:bottom w:val="single" w:sz="4" w:color="A32D2D"/>
              <w:right w:val="single" w:sz="4" w:color="A32D2D"/>
            </w:tcBorders>
          </w:tcPr>
          <w:p>
            <w:pPr>
              <w:spacing w:after="0"/>
            </w:pPr>
            <w:r/>
          </w:p>
          <w:p>
            <w:pPr>
              <w:spacing w:after="60"/>
              <w:ind w:left="144"/>
            </w:pPr>
            <w:r>
              <w:rPr>
                <w:rFonts w:ascii="Calibri" w:hAnsi="Calibri"/>
                <w:b/>
                <w:color w:val="A32D2D"/>
                <w:sz w:val="20"/>
              </w:rPr>
              <w:t xml:space="preserve">▸ </w:t>
            </w:r>
            <w:r>
              <w:rPr>
                <w:rFonts w:ascii="Calibri" w:hAnsi="Calibri"/>
                <w:color w:val="374151"/>
                <w:sz w:val="18"/>
              </w:rPr>
              <w:t>Project-based work, lower density.</w:t>
            </w:r>
          </w:p>
          <w:p>
            <w:pPr>
              <w:spacing w:after="60"/>
              <w:ind w:left="144"/>
            </w:pPr>
            <w:r>
              <w:rPr>
                <w:rFonts w:ascii="Calibri" w:hAnsi="Calibri"/>
                <w:b/>
                <w:color w:val="A32D2D"/>
                <w:sz w:val="20"/>
              </w:rPr>
              <w:t xml:space="preserve">▸ </w:t>
            </w:r>
            <w:r>
              <w:rPr>
                <w:rFonts w:ascii="Calibri" w:hAnsi="Calibri"/>
                <w:color w:val="374151"/>
                <w:sz w:val="18"/>
              </w:rPr>
              <w:t>Smaller individual operations. 2 techs/loc.</w:t>
            </w:r>
          </w:p>
          <w:p>
            <w:pPr>
              <w:spacing w:after="60"/>
              <w:ind w:left="144"/>
            </w:pPr>
            <w:r>
              <w:rPr>
                <w:rFonts w:ascii="Calibri" w:hAnsi="Calibri"/>
                <w:b/>
                <w:color w:val="A32D2D"/>
                <w:sz w:val="20"/>
              </w:rPr>
              <w:t xml:space="preserve">▸ </w:t>
            </w:r>
            <w:r>
              <w:rPr>
                <w:rFonts w:ascii="Calibri" w:hAnsi="Calibri"/>
                <w:color w:val="374151"/>
                <w:sz w:val="18"/>
              </w:rPr>
              <w:t>Surface refinishing niche. Smaller competitive set but smaller market.</w:t>
            </w:r>
          </w:p>
          <w:p>
            <w:pPr>
              <w:spacing w:after="60"/>
              <w:ind w:left="144"/>
            </w:pPr>
            <w:r>
              <w:rPr>
                <w:rFonts w:ascii="Calibri" w:hAnsi="Calibri"/>
                <w:b/>
                <w:color w:val="A32D2D"/>
                <w:sz w:val="20"/>
              </w:rPr>
              <w:t xml:space="preserve">▸ </w:t>
            </w:r>
            <w:r>
              <w:rPr>
                <w:rFonts w:ascii="Calibri" w:hAnsi="Calibri"/>
                <w:color w:val="374151"/>
                <w:sz w:val="18"/>
              </w:rPr>
              <w:t>Threshold platform fragility.</w:t>
            </w:r>
          </w:p>
          <w:p>
            <w:pPr>
              <w:spacing w:after="60"/>
              <w:ind w:left="144"/>
            </w:pPr>
            <w:r>
              <w:rPr>
                <w:rFonts w:ascii="Calibri" w:hAnsi="Calibri"/>
                <w:b/>
                <w:color w:val="A32D2D"/>
                <w:sz w:val="20"/>
              </w:rPr>
              <w:t xml:space="preserve">▸ </w:t>
            </w:r>
            <w:r>
              <w:rPr>
                <w:rFonts w:ascii="Calibri" w:hAnsi="Calibri"/>
                <w:color w:val="374151"/>
                <w:sz w:val="18"/>
              </w:rPr>
              <w:t>Brand still integrating (~18 months in portfolio).</w:t>
            </w:r>
          </w:p>
        </w:tc>
      </w:tr>
    </w:tbl>
    <w:p>
      <w:pPr>
        <w:spacing w:after="80"/>
      </w:pPr>
    </w:p>
    <w:p>
      <w:pPr>
        <w:spacing w:before="160" w:after="80"/>
      </w:pPr>
      <w:r>
        <w:rPr>
          <w:rFonts w:ascii="Calibri" w:hAnsi="Calibri"/>
          <w:b/>
          <w:color w:val="1A2B3C"/>
          <w:sz w:val="26"/>
        </w:rPr>
        <w:t>PERSONA MAP</w:t>
      </w:r>
    </w:p>
    <w:tbl>
      <w:tblPr>
        <w:tblW w:type="auto" w:w="0"/>
        <w:jc w:val="center"/>
        <w:tblLook w:firstColumn="1" w:firstRow="1" w:lastColumn="0" w:lastRow="0" w:noHBand="0" w:noVBand="1" w:val="04A0"/>
      </w:tblPr>
      <w:tblGrid>
        <w:gridCol w:w="3360"/>
        <w:gridCol w:w="3360"/>
        <w:gridCol w:w="3360"/>
      </w:tblGrid>
      <w:tr>
        <w:tc>
          <w:tcPr>
            <w:tcW w:type="dxa" w:w="2880"/>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NAME &amp; ROLE</w:t>
            </w:r>
          </w:p>
        </w:tc>
        <w:tc>
          <w:tcPr>
            <w:tcW w:type="dxa" w:w="5040"/>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WHY THEY MATTER</w:t>
            </w:r>
          </w:p>
        </w:tc>
        <w:tc>
          <w:tcPr>
            <w:tcW w:type="dxa" w:w="2160"/>
            <w:shd w:val="clear" w:color="auto" w:fill="1A2B3C"/>
            <w:tcBorders>
              <w:top w:val="single" w:sz="4" w:color="1A2B3C"/>
              <w:left w:val="single" w:sz="4" w:color="1A2B3C"/>
              <w:bottom w:val="single" w:sz="4" w:color="1A2B3C"/>
              <w:right w:val="single" w:sz="4" w:color="1A2B3C"/>
            </w:tcBorders>
          </w:tcPr>
          <w:p>
            <w:pPr>
              <w:spacing w:after="0"/>
            </w:pPr>
            <w:r>
              <w:rPr>
                <w:rFonts w:ascii="Calibri" w:hAnsi="Calibri"/>
                <w:b/>
                <w:color w:val="FFFFFF"/>
                <w:sz w:val="18"/>
              </w:rPr>
              <w:t>PATH</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John Tubiolo</w:t>
            </w:r>
          </w:p>
          <w:p>
            <w:pPr>
              <w:spacing w:after="0"/>
            </w:pPr>
            <w:r>
              <w:rPr>
                <w:rFonts w:ascii="Calibri" w:hAnsi="Calibri"/>
                <w:color w:val="6B7280"/>
                <w:sz w:val="16"/>
              </w:rPr>
              <w:t>Brand Leader · Miracle Method (since April 2024)</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Promoted from SVP Sales/Development at acquisition. Direct decision authority.</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2D6A4F"/>
                <w:sz w:val="18"/>
              </w:rPr>
              <w:t>★ Brand Leader path</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Ted DeMarino</w:t>
            </w:r>
          </w:p>
          <w:p>
            <w:pPr>
              <w:spacing w:after="0"/>
            </w:pPr>
            <w:r>
              <w:rPr>
                <w:rFonts w:ascii="Calibri" w:hAnsi="Calibri"/>
                <w:color w:val="6B7280"/>
                <w:sz w:val="16"/>
              </w:rPr>
              <w:t>CEO · Threshold</w:t>
            </w:r>
          </w:p>
        </w:tc>
        <w:tc>
          <w:tcPr>
            <w:tcW w:type="dxa" w:w="504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Personal positive opinion of brand. CEO sponsorship.</w:t>
            </w:r>
          </w:p>
        </w:tc>
        <w:tc>
          <w:tcPr>
            <w:tcW w:type="dxa" w:w="2160"/>
            <w:tcBorders>
              <w:top w:val="single" w:sz="4" w:color="CCCCCC"/>
              <w:left w:val="single" w:sz="4" w:color="CCCCCC"/>
              <w:bottom w:val="single" w:sz="4" w:color="CCCCCC"/>
              <w:right w:val="single" w:sz="4" w:color="CCCCCC"/>
            </w:tcBorders>
          </w:tcPr>
          <w:p>
            <w:pPr>
              <w:spacing w:after="0"/>
            </w:pPr>
            <w:r>
              <w:rPr>
                <w:rFonts w:ascii="Calibri" w:hAnsi="Calibri"/>
                <w:b/>
                <w:color w:val="2D6A4F"/>
                <w:sz w:val="18"/>
              </w:rPr>
              <w:t>★ CEO path</w:t>
            </w:r>
          </w:p>
        </w:tc>
      </w:tr>
    </w:tbl>
    <w:p>
      <w:pPr>
        <w:spacing w:after="80"/>
      </w:pPr>
    </w:p>
    <w:p>
      <w:pPr>
        <w:spacing w:before="160" w:after="80"/>
      </w:pPr>
      <w:r>
        <w:rPr>
          <w:rFonts w:ascii="Calibri" w:hAnsi="Calibri"/>
          <w:b/>
          <w:color w:val="1A2B3C"/>
          <w:sz w:val="26"/>
        </w:rPr>
        <w:t>EVENTS TO ENGAGE</w:t>
      </w:r>
    </w:p>
    <w:p>
      <w:pPr>
        <w:spacing w:after="40"/>
        <w:ind w:left="144"/>
      </w:pPr>
      <w:r>
        <w:rPr>
          <w:rFonts w:ascii="Calibri" w:hAnsi="Calibri"/>
          <w:b/>
          <w:color w:val="185FA5"/>
          <w:sz w:val="18"/>
        </w:rPr>
        <w:t xml:space="preserve">Annual  ·  </w:t>
      </w:r>
      <w:r>
        <w:rPr>
          <w:rFonts w:ascii="Calibri" w:hAnsi="Calibri"/>
          <w:b/>
          <w:color w:val="1A2B3C"/>
          <w:sz w:val="20"/>
        </w:rPr>
        <w:t>Threshold Brands Summit</w:t>
      </w:r>
    </w:p>
    <w:p>
      <w:pPr>
        <w:spacing w:after="80"/>
        <w:ind w:left="576"/>
      </w:pPr>
      <w:r>
        <w:rPr>
          <w:rFonts w:ascii="Calibri" w:hAnsi="Calibri"/>
          <w:color w:val="374151"/>
          <w:sz w:val="18"/>
        </w:rPr>
        <w:t>Single-room access.</w:t>
      </w:r>
    </w:p>
    <w:p>
      <w:pPr>
        <w:spacing w:after="40"/>
        <w:ind w:left="144"/>
      </w:pPr>
      <w:r>
        <w:rPr>
          <w:rFonts w:ascii="Calibri" w:hAnsi="Calibri"/>
          <w:b/>
          <w:color w:val="185FA5"/>
          <w:sz w:val="18"/>
        </w:rPr>
        <w:t xml:space="preserve">Annual (Feb)  ·  </w:t>
      </w:r>
      <w:r>
        <w:rPr>
          <w:rFonts w:ascii="Calibri" w:hAnsi="Calibri"/>
          <w:b/>
          <w:color w:val="1A2B3C"/>
          <w:sz w:val="20"/>
        </w:rPr>
        <w:t>KBIS Show</w:t>
      </w:r>
    </w:p>
    <w:p>
      <w:pPr>
        <w:spacing w:after="80"/>
        <w:ind w:left="576"/>
      </w:pPr>
      <w:r>
        <w:rPr>
          <w:rFonts w:ascii="Calibri" w:hAnsi="Calibri"/>
          <w:color w:val="374151"/>
          <w:sz w:val="18"/>
        </w:rPr>
        <w:t>Kitchen &amp; Bath Industry Show.</w:t>
      </w:r>
    </w:p>
    <w:p>
      <w:pPr>
        <w:spacing w:before="160" w:after="80"/>
      </w:pPr>
      <w:r>
        <w:rPr>
          <w:rFonts w:ascii="Calibri" w:hAnsi="Calibri"/>
          <w:b/>
          <w:color w:val="6B7280"/>
          <w:sz w:val="22"/>
        </w:rPr>
        <w:t>HOW WE SCORED THIS</w:t>
      </w:r>
    </w:p>
    <w:p>
      <w:pPr>
        <w:spacing w:after="120" w:line="300" w:lineRule="auto"/>
      </w:pPr>
      <w:r>
        <w:rPr>
          <w:rFonts w:ascii="Calibri" w:hAnsi="Calibri"/>
          <w:i/>
          <w:color w:val="374151"/>
          <w:sz w:val="20"/>
        </w:rPr>
        <w:t>Score 65 (T4) per Track 2 v2 matrix. Drivers: newest engageable Threshold brand (April 2024 acquisition), John Tubiolo Brand Leader operational knowledge, Ted DeMarino personal CEO sponsorship, photo documentation native ServiceBridge strength. Reduced by project-based lower density, smaller scale, niche refinishing category. Threshold parent +20 bonus.</w:t>
      </w:r>
    </w:p>
    <w:p>
      <w:pPr>
        <w:spacing w:before="160" w:after="80"/>
      </w:pPr>
      <w:r>
        <w:rPr>
          <w:rFonts w:ascii="Calibri" w:hAnsi="Calibri"/>
          <w:b/>
          <w:color w:val="1A2B3C"/>
          <w:sz w:val="22"/>
        </w:rPr>
        <w:t>SIGN-OFF &amp; NEXT STEPS</w:t>
      </w:r>
    </w:p>
    <w:tbl>
      <w:tblPr>
        <w:tblW w:type="auto" w:w="0"/>
        <w:jc w:val="center"/>
        <w:tblLook w:firstColumn="1" w:firstRow="1" w:lastColumn="0" w:lastRow="0" w:noHBand="0" w:noVBand="1" w:val="04A0"/>
      </w:tblPr>
      <w:tblGrid>
        <w:gridCol w:w="5040"/>
        <w:gridCol w:w="5040"/>
      </w:tblGrid>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Owner</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Mike Flynt · Velocity GTM Co LLC</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GPSI Coordination</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Andrea Rowan (GM ServiceBridge), Charles Layne (CEO), Garrett Else (CFO)</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Source of truth</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Track 2 P1+P2 Brand Priority Matrix v2 · CRM v15.6 · Threshold Brands parent context</w:t>
            </w:r>
          </w:p>
        </w:tc>
      </w:tr>
      <w:tr>
        <w:tc>
          <w:tcPr>
            <w:tcW w:type="dxa" w:w="2880"/>
            <w:tcBorders>
              <w:top w:val="single" w:sz="4" w:color="CCCCCC"/>
              <w:left w:val="single" w:sz="4" w:color="CCCCCC"/>
              <w:bottom w:val="single" w:sz="4" w:color="CCCCCC"/>
              <w:right w:val="single" w:sz="4" w:color="CCCCCC"/>
            </w:tcBorders>
            <w:shd w:val="clear" w:color="auto" w:fill="F7F8FA"/>
          </w:tcPr>
          <w:p>
            <w:pPr>
              <w:spacing w:after="0"/>
            </w:pPr>
            <w:r>
              <w:rPr>
                <w:rFonts w:ascii="Calibri" w:hAnsi="Calibri"/>
                <w:b/>
                <w:color w:val="1A2B3C"/>
                <w:sz w:val="18"/>
              </w:rPr>
              <w:t>Document version</w:t>
            </w:r>
          </w:p>
        </w:tc>
        <w:tc>
          <w:tcPr>
            <w:tcW w:type="dxa" w:w="7200"/>
            <w:tcBorders>
              <w:top w:val="single" w:sz="4" w:color="CCCCCC"/>
              <w:left w:val="single" w:sz="4" w:color="CCCCCC"/>
              <w:bottom w:val="single" w:sz="4" w:color="CCCCCC"/>
              <w:right w:val="single" w:sz="4" w:color="CCCCCC"/>
            </w:tcBorders>
          </w:tcPr>
          <w:p>
            <w:pPr>
              <w:spacing w:after="0"/>
            </w:pPr>
            <w:r>
              <w:rPr>
                <w:rFonts w:ascii="Calibri" w:hAnsi="Calibri"/>
                <w:color w:val="374151"/>
                <w:sz w:val="18"/>
              </w:rPr>
              <w:t>v1.0 · May 1, 2026 · ServiceBridge GTM Engagement</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