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Threshold Brands  ·  Track 2 P2 #3</w:t>
      </w:r>
    </w:p>
    <w:p>
      <w:pPr>
        <w:spacing w:after="40"/>
      </w:pPr>
      <w:r>
        <w:rPr>
          <w:rFonts w:ascii="Calibri" w:hAnsi="Calibri"/>
          <w:b/>
          <w:color w:val="1A2B3C"/>
          <w:sz w:val="44"/>
        </w:rPr>
        <w:t>Mold Medics</w:t>
      </w:r>
    </w:p>
    <w:p>
      <w:pPr>
        <w:spacing w:after="160"/>
      </w:pPr>
      <w:r>
        <w:rPr>
          <w:rFonts w:ascii="Calibri" w:hAnsi="Calibri"/>
          <w:b/>
          <w:color w:val="185FA5"/>
          <w:sz w:val="20"/>
        </w:rPr>
        <w:t>Score 60  ·  Tier T4  ·  Character: MOLD REMEDIATION · RESTORATION VERTICAL</w:t>
      </w:r>
    </w:p>
    <w:p>
      <w:pPr>
        <w:spacing w:after="160"/>
        <w:pBdr>
          <w:bottom w:val="single" w:sz="8" w:color="185FA5"/>
        </w:pBdr>
      </w:pPr>
    </w:p>
    <w:p>
      <w:pPr>
        <w:spacing w:after="160"/>
      </w:pPr>
      <w:r>
        <w:rPr>
          <w:rFonts w:ascii="Calibri" w:hAnsi="Calibri"/>
          <w:i/>
          <w:color w:val="374151"/>
          <w:sz w:val="20"/>
        </w:rPr>
        <w:t>Mold remediation services · Acquired by Threshold May 2023 · Tim Swackhammer founder retained · Restoration-adjacent vertical</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75</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3</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225 / 225</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$6.75K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Mold Medics is mold remediation — restoration-adjacent vertical. Tim Swackhammer founded and was retained at Threshold acquisition. Smaller scale but founder-led.</w:t>
            </w:r>
          </w:p>
          <w:p>
            <w:pPr>
              <w:spacing w:after="80" w:line="312" w:lineRule="auto"/>
            </w:pPr>
            <w:r>
              <w:rPr>
                <w:rFonts w:ascii="Calibri" w:hAnsi="Calibri"/>
                <w:color w:val="374151"/>
                <w:sz w:val="20"/>
              </w:rPr>
              <w:t>Mold Medics joined Threshold in May 2023. Founder Tim Swackhammer was retained per the acquisition release: 'I'm genuinely excited about the future of Mold Medics and the opportunities this partnership brings. Joining forces with Threshold Brands allows us to tap into their established systems, practices, and franchise partners.' Founder still in chair = direct decision authority.</w:t>
            </w:r>
          </w:p>
          <w:p>
            <w:pPr>
              <w:spacing w:after="80" w:line="312" w:lineRule="auto"/>
            </w:pPr>
            <w:r>
              <w:rPr>
                <w:rFonts w:ascii="Calibri" w:hAnsi="Calibri"/>
                <w:color w:val="374151"/>
                <w:sz w:val="20"/>
              </w:rPr>
              <w:t>Mold remediation is restoration-adjacent: water-damage response, air quality testing, multi-visit compliance tracking (state regulations vary), homeowner insurance billing. Same vertical economics as restoration brands like FRSTeam at Empower (T3 Lead Pilot at 81), 1-800-Packouts at Five Star (T4 at 70), and DRYmedic / STOP Restoration at Authority (T3 Lead Pilots at 81). The HOODZ pattern applies: 94% organic ServiceBridge adoption proof in restoration.</w:t>
            </w:r>
          </w:p>
          <w:p>
            <w:pPr>
              <w:spacing w:after="80" w:line="312" w:lineRule="auto"/>
            </w:pPr>
            <w:r>
              <w:rPr>
                <w:rFonts w:ascii="Calibri" w:hAnsi="Calibri"/>
                <w:color w:val="374151"/>
                <w:sz w:val="20"/>
              </w:rPr>
              <w:t>Smaller scale (75 locs · 225 techs · $6.75K Y1) than other restoration analogs but founder-led. Project-based mold remediation jobs are 1-3 day workflows with documentation requirements (before/after mold readings, air quality logs).</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Not ST-mandated. Real greenfield.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Tim Swackhammer (Founder, retained at acquisition). Direct decision authority. Ted DeMarino CEO.</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Mixed — residential homeowner mold remediation + commercial (multi-family, schools, healthcare). Insurance-paid revenue.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corporate. Validate. Restoration franchisees often use FNOL BPOs.</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Restoration franchisees use specialized restoration software + QB.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Brands Summit. RIA Convention. State health department conferences. AIHA (American Industrial Hygiene Association).</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Tim Swackhammer founder retained. Direct decision authority.</w:t>
            </w:r>
          </w:p>
          <w:p>
            <w:pPr>
              <w:spacing w:after="60"/>
              <w:ind w:left="144"/>
            </w:pPr>
            <w:r>
              <w:rPr>
                <w:rFonts w:ascii="Calibri" w:hAnsi="Calibri"/>
                <w:b/>
                <w:color w:val="2D6A4F"/>
                <w:sz w:val="20"/>
              </w:rPr>
              <w:t xml:space="preserve">▸ </w:t>
            </w:r>
            <w:r>
              <w:rPr>
                <w:rFonts w:ascii="Calibri" w:hAnsi="Calibri"/>
                <w:color w:val="374151"/>
                <w:sz w:val="18"/>
              </w:rPr>
              <w:t>HOODZ pattern fit. Restoration vertical proven across multiple parents.</w:t>
            </w:r>
          </w:p>
          <w:p>
            <w:pPr>
              <w:spacing w:after="60"/>
              <w:ind w:left="144"/>
            </w:pPr>
            <w:r>
              <w:rPr>
                <w:rFonts w:ascii="Calibri" w:hAnsi="Calibri"/>
                <w:b/>
                <w:color w:val="2D6A4F"/>
                <w:sz w:val="20"/>
              </w:rPr>
              <w:t xml:space="preserve">▸ </w:t>
            </w:r>
            <w:r>
              <w:rPr>
                <w:rFonts w:ascii="Calibri" w:hAnsi="Calibri"/>
                <w:color w:val="374151"/>
                <w:sz w:val="18"/>
              </w:rPr>
              <w:t>FRSTeam (Empower), 1-800-Packouts (Five Star), DRYmedic + STOP (Authority) cross-network analogs.</w:t>
            </w:r>
          </w:p>
          <w:p>
            <w:pPr>
              <w:spacing w:after="60"/>
              <w:ind w:left="144"/>
            </w:pPr>
            <w:r>
              <w:rPr>
                <w:rFonts w:ascii="Calibri" w:hAnsi="Calibri"/>
                <w:b/>
                <w:color w:val="2D6A4F"/>
                <w:sz w:val="20"/>
              </w:rPr>
              <w:t xml:space="preserve">▸ </w:t>
            </w:r>
            <w:r>
              <w:rPr>
                <w:rFonts w:ascii="Calibri" w:hAnsi="Calibri"/>
                <w:color w:val="374151"/>
                <w:sz w:val="18"/>
              </w:rPr>
              <w:t>Insurance-paid revenue model.</w:t>
            </w:r>
          </w:p>
          <w:p>
            <w:pPr>
              <w:spacing w:after="60"/>
              <w:ind w:left="144"/>
            </w:pPr>
            <w:r>
              <w:rPr>
                <w:rFonts w:ascii="Calibri" w:hAnsi="Calibri"/>
                <w:b/>
                <w:color w:val="2D6A4F"/>
                <w:sz w:val="20"/>
              </w:rPr>
              <w:t xml:space="preserve">▸ </w:t>
            </w:r>
            <w:r>
              <w:rPr>
                <w:rFonts w:ascii="Calibri" w:hAnsi="Calibri"/>
                <w:color w:val="374151"/>
                <w:sz w:val="18"/>
              </w:rPr>
              <w:t>Multi-visit compliance tracking = ServiceBridge documentation strength.</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Mold-specific software. Specialized mold-remediation tools may exist.</w:t>
            </w:r>
          </w:p>
          <w:p>
            <w:pPr>
              <w:spacing w:after="60"/>
              <w:ind w:left="144"/>
            </w:pPr>
            <w:r>
              <w:rPr>
                <w:rFonts w:ascii="Calibri" w:hAnsi="Calibri"/>
                <w:b/>
                <w:color w:val="A32D2D"/>
                <w:sz w:val="20"/>
              </w:rPr>
              <w:t xml:space="preserve">▸ </w:t>
            </w:r>
            <w:r>
              <w:rPr>
                <w:rFonts w:ascii="Calibri" w:hAnsi="Calibri"/>
                <w:color w:val="374151"/>
                <w:sz w:val="18"/>
              </w:rPr>
              <w:t>State-by-state mold regulation. Compliance varies widely.</w:t>
            </w:r>
          </w:p>
          <w:p>
            <w:pPr>
              <w:spacing w:after="60"/>
              <w:ind w:left="144"/>
            </w:pPr>
            <w:r>
              <w:rPr>
                <w:rFonts w:ascii="Calibri" w:hAnsi="Calibri"/>
                <w:b/>
                <w:color w:val="A32D2D"/>
                <w:sz w:val="20"/>
              </w:rPr>
              <w:t xml:space="preserve">▸ </w:t>
            </w:r>
            <w:r>
              <w:rPr>
                <w:rFonts w:ascii="Calibri" w:hAnsi="Calibri"/>
                <w:color w:val="374151"/>
                <w:sz w:val="18"/>
              </w:rPr>
              <w:t>Smaller scale. 75 locs · 225 techs · $6.75K Y1.</w:t>
            </w:r>
          </w:p>
          <w:p>
            <w:pPr>
              <w:spacing w:after="60"/>
              <w:ind w:left="144"/>
            </w:pPr>
            <w:r>
              <w:rPr>
                <w:rFonts w:ascii="Calibri" w:hAnsi="Calibri"/>
                <w:b/>
                <w:color w:val="A32D2D"/>
                <w:sz w:val="20"/>
              </w:rPr>
              <w:t xml:space="preserve">▸ </w:t>
            </w:r>
            <w:r>
              <w:rPr>
                <w:rFonts w:ascii="Calibri" w:hAnsi="Calibri"/>
                <w:color w:val="374151"/>
                <w:sz w:val="18"/>
              </w:rPr>
              <w:t>Threshold platform fragility.</w:t>
            </w:r>
          </w:p>
          <w:p>
            <w:pPr>
              <w:spacing w:after="60"/>
              <w:ind w:left="144"/>
            </w:pPr>
            <w:r>
              <w:rPr>
                <w:rFonts w:ascii="Calibri" w:hAnsi="Calibri"/>
                <w:b/>
                <w:color w:val="A32D2D"/>
                <w:sz w:val="20"/>
              </w:rPr>
              <w:t xml:space="preserve">▸ </w:t>
            </w:r>
            <w:r>
              <w:rPr>
                <w:rFonts w:ascii="Calibri" w:hAnsi="Calibri"/>
                <w:color w:val="374151"/>
                <w:sz w:val="18"/>
              </w:rPr>
              <w:t>Insurance carrier portal integrations expand scope.</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Tim Swackhammer</w:t>
            </w:r>
          </w:p>
          <w:p>
            <w:pPr>
              <w:spacing w:after="0"/>
            </w:pPr>
            <w:r>
              <w:rPr>
                <w:rFonts w:ascii="Calibri" w:hAnsi="Calibri"/>
                <w:color w:val="6B7280"/>
                <w:sz w:val="16"/>
              </w:rPr>
              <w:t>Founder · Mold Medics (retained 2023)</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Founder, retained at Threshold acquisition. Direct decision authority.</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Founder warm</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Ted DeMarino</w:t>
            </w:r>
          </w:p>
          <w:p>
            <w:pPr>
              <w:spacing w:after="0"/>
            </w:pPr>
            <w:r>
              <w:rPr>
                <w:rFonts w:ascii="Calibri" w:hAnsi="Calibri"/>
                <w:color w:val="6B7280"/>
                <w:sz w:val="16"/>
              </w:rPr>
              <w:t>CEO · Threshold</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Direction.</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path</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Threshold Brands Summit</w:t>
      </w:r>
    </w:p>
    <w:p>
      <w:pPr>
        <w:spacing w:after="80"/>
        <w:ind w:left="576"/>
      </w:pPr>
      <w:r>
        <w:rPr>
          <w:rFonts w:ascii="Calibri" w:hAnsi="Calibri"/>
          <w:color w:val="374151"/>
          <w:sz w:val="18"/>
        </w:rPr>
        <w:t>Single-room access.</w:t>
      </w:r>
    </w:p>
    <w:p>
      <w:pPr>
        <w:spacing w:after="40"/>
        <w:ind w:left="144"/>
      </w:pPr>
      <w:r>
        <w:rPr>
          <w:rFonts w:ascii="Calibri" w:hAnsi="Calibri"/>
          <w:b/>
          <w:color w:val="185FA5"/>
          <w:sz w:val="18"/>
        </w:rPr>
        <w:t xml:space="preserve">Annual  ·  </w:t>
      </w:r>
      <w:r>
        <w:rPr>
          <w:rFonts w:ascii="Calibri" w:hAnsi="Calibri"/>
          <w:b/>
          <w:color w:val="1A2B3C"/>
          <w:sz w:val="20"/>
        </w:rPr>
        <w:t>RIA Convention</w:t>
      </w:r>
    </w:p>
    <w:p>
      <w:pPr>
        <w:spacing w:after="80"/>
        <w:ind w:left="576"/>
      </w:pPr>
      <w:r>
        <w:rPr>
          <w:rFonts w:ascii="Calibri" w:hAnsi="Calibri"/>
          <w:color w:val="374151"/>
          <w:sz w:val="18"/>
        </w:rPr>
        <w:t>Restoration industry.</w:t>
      </w:r>
    </w:p>
    <w:p>
      <w:pPr>
        <w:spacing w:after="40"/>
        <w:ind w:left="144"/>
      </w:pPr>
      <w:r>
        <w:rPr>
          <w:rFonts w:ascii="Calibri" w:hAnsi="Calibri"/>
          <w:b/>
          <w:color w:val="185FA5"/>
          <w:sz w:val="18"/>
        </w:rPr>
        <w:t xml:space="preserve">Annual  ·  </w:t>
      </w:r>
      <w:r>
        <w:rPr>
          <w:rFonts w:ascii="Calibri" w:hAnsi="Calibri"/>
          <w:b/>
          <w:color w:val="1A2B3C"/>
          <w:sz w:val="20"/>
        </w:rPr>
        <w:t>AIHA Conference</w:t>
      </w:r>
    </w:p>
    <w:p>
      <w:pPr>
        <w:spacing w:after="80"/>
        <w:ind w:left="576"/>
      </w:pPr>
      <w:r>
        <w:rPr>
          <w:rFonts w:ascii="Calibri" w:hAnsi="Calibri"/>
          <w:color w:val="374151"/>
          <w:sz w:val="18"/>
        </w:rPr>
        <w:t>American Industrial Hygiene Association.</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60 (T4) per Track 2 v2 matrix. Drivers: HOODZ-pattern restoration vertical fit, Tim Swackhammer founder retained, multi-visit compliance documentation ServiceBridge fit. Reduced by smaller scale, mold-specific software competition, state regulatory complexity, Threshold platform fragility. Threshold parent +20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Threshold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