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B7280"/>
          <w:sz w:val="16"/>
        </w:rPr>
        <w:t>VELOCITY GTM CO  ·  ServiceBridge GTM  ·  Threshold Brands  ·  Track 2 P2 #3 NorthStar</w:t>
      </w:r>
    </w:p>
    <w:p>
      <w:pPr>
        <w:spacing w:after="40"/>
      </w:pPr>
      <w:r>
        <w:rPr>
          <w:rFonts w:ascii="Calibri" w:hAnsi="Calibri"/>
          <w:b/>
          <w:color w:val="1A2B3C"/>
          <w:sz w:val="44"/>
        </w:rPr>
        <w:t>USA Insulation</w:t>
      </w:r>
    </w:p>
    <w:p>
      <w:pPr>
        <w:spacing w:after="160"/>
      </w:pPr>
      <w:r>
        <w:rPr>
          <w:rFonts w:ascii="Calibri" w:hAnsi="Calibri"/>
          <w:b/>
          <w:color w:val="185FA5"/>
          <w:sz w:val="20"/>
        </w:rPr>
        <w:t>Score 105  ·  Tier T1  ·  Character: ★ NORTHSTAR · AT-RISK ANCHOR · 75% SB ADOPTED · TRANSITIONING OFF</w:t>
      </w:r>
    </w:p>
    <w:p>
      <w:pPr>
        <w:spacing w:after="160"/>
        <w:pBdr>
          <w:bottom w:val="single" w:sz="8" w:color="185FA5"/>
        </w:pBdr>
      </w:pPr>
    </w:p>
    <w:p>
      <w:pPr>
        <w:spacing w:after="160"/>
      </w:pPr>
      <w:r>
        <w:rPr>
          <w:rFonts w:ascii="Calibri" w:hAnsi="Calibri"/>
          <w:i/>
          <w:color w:val="374151"/>
          <w:sz w:val="20"/>
        </w:rPr>
        <w:t>Residential insulation · Cleveland, OH brand HQ · 75% ServiceBridge-adopted (highest in Threshold) · Franchisor transitioning off ServiceBridge per Andrea April 2026 · RETENTION posture</w:t>
      </w:r>
    </w:p>
    <w:tbl>
      <w:tblPr>
        <w:tblW w:type="auto" w:w="0"/>
        <w:jc w:val="center"/>
        <w:tblLook w:firstColumn="1" w:firstRow="1" w:lastColumn="0" w:lastRow="0" w:noHBand="0" w:noVBand="1" w:val="04A0"/>
      </w:tblPr>
      <w:tblGrid>
        <w:gridCol w:w="2520"/>
        <w:gridCol w:w="2520"/>
        <w:gridCol w:w="2520"/>
        <w:gridCol w:w="2520"/>
      </w:tblGrid>
      <w:tr>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LOCATIONS</w:t>
            </w:r>
          </w:p>
          <w:p>
            <w:pPr>
              <w:spacing w:after="0"/>
            </w:pPr>
            <w:r>
              <w:rPr>
                <w:rFonts w:ascii="Calibri" w:hAnsi="Calibri"/>
                <w:b/>
                <w:color w:val="1A2B3C"/>
                <w:sz w:val="22"/>
              </w:rPr>
              <w:t>75</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TECHS / LOC</w:t>
            </w:r>
          </w:p>
          <w:p>
            <w:pPr>
              <w:spacing w:after="0"/>
            </w:pPr>
            <w:r>
              <w:rPr>
                <w:rFonts w:ascii="Calibri" w:hAnsi="Calibri"/>
                <w:b/>
                <w:color w:val="1A2B3C"/>
                <w:sz w:val="22"/>
              </w:rPr>
              <w:t>4</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TOTAL / ENGAGEABLE</w:t>
            </w:r>
          </w:p>
          <w:p>
            <w:pPr>
              <w:spacing w:after="0"/>
            </w:pPr>
            <w:r>
              <w:rPr>
                <w:rFonts w:ascii="Calibri" w:hAnsi="Calibri"/>
                <w:b/>
                <w:color w:val="1A2B3C"/>
                <w:sz w:val="22"/>
              </w:rPr>
              <w:t>300 / 300</w:t>
            </w:r>
          </w:p>
        </w:tc>
        <w:tc>
          <w:tcPr>
            <w:tcW w:type="dxa" w:w="2520"/>
            <w:shd w:val="clear" w:color="auto" w:fill="F7F8FA"/>
            <w:tcBorders>
              <w:top w:val="single" w:sz="4" w:color="E5E7EB"/>
              <w:left w:val="single" w:sz="4" w:color="E5E7EB"/>
              <w:bottom w:val="single" w:sz="4" w:color="E5E7EB"/>
              <w:right w:val="single" w:sz="4" w:color="E5E7EB"/>
            </w:tcBorders>
          </w:tcPr>
          <w:p>
            <w:pPr>
              <w:spacing w:after="40"/>
            </w:pPr>
            <w:r>
              <w:rPr>
                <w:rFonts w:ascii="Calibri" w:hAnsi="Calibri"/>
                <w:b/>
                <w:color w:val="6B7280"/>
                <w:sz w:val="16"/>
              </w:rPr>
              <w:t>Y1 ARR @ 10%</w:t>
            </w:r>
          </w:p>
          <w:p>
            <w:pPr>
              <w:spacing w:after="0"/>
            </w:pPr>
            <w:r>
              <w:rPr>
                <w:rFonts w:ascii="Calibri" w:hAnsi="Calibri"/>
                <w:b/>
                <w:color w:val="1A2B3C"/>
                <w:sz w:val="22"/>
              </w:rPr>
              <w:t>$9K (defending)</w:t>
            </w:r>
          </w:p>
        </w:tc>
      </w:tr>
    </w:tbl>
    <w:p>
      <w:pPr>
        <w:spacing w:after="80"/>
      </w:pPr>
    </w:p>
    <w:tbl>
      <w:tblPr>
        <w:tblW w:type="auto" w:w="0"/>
        <w:jc w:val="center"/>
        <w:tblLayout w:type="autofit"/>
        <w:tblLook w:firstColumn="1" w:firstRow="1" w:lastColumn="0" w:lastRow="0" w:noHBand="0" w:noVBand="1" w:val="04A0"/>
      </w:tblPr>
      <w:tblGrid>
        <w:gridCol w:w="10080"/>
      </w:tblGrid>
      <w:tr>
        <w:tc>
          <w:tcPr>
            <w:tcW w:type="dxa" w:w="10080"/>
            <w:shd w:val="clear" w:color="auto" w:fill="FFF8E1"/>
            <w:tcBorders>
              <w:top w:val="single" w:sz="6" w:color="B8860B"/>
              <w:left w:val="single" w:sz="6" w:color="B8860B"/>
              <w:bottom w:val="single" w:sz="6" w:color="B8860B"/>
              <w:right w:val="single" w:sz="6" w:color="B8860B"/>
            </w:tcBorders>
          </w:tcPr>
          <w:p>
            <w:pPr>
              <w:spacing w:after="80"/>
            </w:pPr>
            <w:r>
              <w:rPr>
                <w:rFonts w:ascii="Calibri" w:hAnsi="Calibri"/>
                <w:b/>
                <w:color w:val="B8860B"/>
                <w:sz w:val="18"/>
              </w:rPr>
              <w:t>MY READ</w:t>
            </w:r>
          </w:p>
          <w:p>
            <w:pPr>
              <w:spacing w:after="120"/>
            </w:pPr>
            <w:r>
              <w:rPr>
                <w:rFonts w:ascii="Calibri" w:hAnsi="Calibri"/>
                <w:b/>
                <w:color w:val="1A2B3C"/>
                <w:sz w:val="24"/>
              </w:rPr>
              <w:t>USA Insulation is the at-risk anchor — 75% ServiceBridge-adopted but transitioning off per franchisor decision. The work here is RETENTION + UNDERSTAND THE WHY, not expansion.</w:t>
            </w:r>
          </w:p>
          <w:p>
            <w:pPr>
              <w:spacing w:after="80" w:line="312" w:lineRule="auto"/>
            </w:pPr>
            <w:r>
              <w:rPr>
                <w:rFonts w:ascii="Calibri" w:hAnsi="Calibri"/>
                <w:color w:val="374151"/>
                <w:sz w:val="20"/>
              </w:rPr>
              <w:t>USA Insulation is the largest single ServiceBridge footprint in the Threshold portfolio — 75% adopted, 56 of 75 locations active. But per Andrea's April 2026 update: the franchisor is making a decision to transition USA Insulation off ServiceBridge over the coming year. That's a confirmed franchisor-level decision, not a franchisee drift. The strategic posture flips from EXPANSION to RETENTION.</w:t>
            </w:r>
          </w:p>
          <w:p>
            <w:pPr>
              <w:spacing w:after="80" w:line="312" w:lineRule="auto"/>
            </w:pPr>
            <w:r>
              <w:rPr>
                <w:rFonts w:ascii="Calibri" w:hAnsi="Calibri"/>
                <w:color w:val="374151"/>
                <w:sz w:val="20"/>
              </w:rPr>
              <w:t>Per Mike's CRM intel: 'The work is twofold: defend what we have, then reposition for what's next.' That means: (1) Understand exactly what's driving the transition decision — is it pricing? Feature gaps? Vendor relationship? Is it reversible? Andrea is the source on this. (2) If the decision is irreversible, accept the loss gracefully and reposition the relationship at the new top (Ted DeMarino + Billy Newby) so Threshold's other 9 brands stay reachable.</w:t>
            </w:r>
          </w:p>
          <w:p>
            <w:pPr>
              <w:spacing w:after="80" w:line="312" w:lineRule="auto"/>
            </w:pPr>
            <w:r>
              <w:rPr>
                <w:rFonts w:ascii="Calibri" w:hAnsi="Calibri"/>
                <w:color w:val="374151"/>
                <w:sz w:val="20"/>
              </w:rPr>
              <w:t>The new leadership context matters: Ted DeMarino became CEO in 2024 (replaced Hagan Kappler). Billy Newby is CFO. Per public LinkedIn: multiple Threshold executives departed in late 2025 (Kappler, Scott, Pitrone, Diiorio). That's a full leadership reset. The USA Insulation transition decision was likely made by either the prior leadership (now departed) or by the new leadership (DeMarino, who came from Liberty Tax with no franchise FSM context). Knowing which informs the retention conversation.</w:t>
            </w:r>
          </w:p>
        </w:tc>
      </w:tr>
    </w:tbl>
    <w:p>
      <w:pPr>
        <w:spacing w:after="80"/>
      </w:pPr>
    </w:p>
    <w:p>
      <w:pPr>
        <w:spacing w:before="160" w:after="80"/>
      </w:pPr>
      <w:r>
        <w:rPr>
          <w:rFonts w:ascii="Calibri" w:hAnsi="Calibri"/>
          <w:b/>
          <w:color w:val="1A2B3C"/>
          <w:sz w:val="26"/>
        </w:rPr>
        <w:t>DIMENSION SCORING  ·  6 LENSES</w:t>
      </w:r>
    </w:p>
    <w:tbl>
      <w:tblPr>
        <w:tblW w:type="auto" w:w="0"/>
        <w:jc w:val="center"/>
        <w:tblLook w:firstColumn="1" w:firstRow="1" w:lastColumn="0" w:lastRow="0" w:noHBand="0" w:noVBand="1" w:val="04A0"/>
      </w:tblPr>
      <w:tblGrid>
        <w:gridCol w:w="3360"/>
        <w:gridCol w:w="3360"/>
        <w:gridCol w:w="3360"/>
      </w:tblGrid>
      <w:tr>
        <w:tc>
          <w:tcPr>
            <w:tcW w:type="dxa" w:w="201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DIMENSION</w:t>
            </w:r>
          </w:p>
        </w:tc>
        <w:tc>
          <w:tcPr>
            <w:tcW w:type="dxa" w:w="1296"/>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FLAG</w:t>
            </w:r>
          </w:p>
        </w:tc>
        <w:tc>
          <w:tcPr>
            <w:tcW w:type="dxa" w:w="6768"/>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NARRATIVE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Greenfield Posture</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Currently 75% ServiceBridge-adopted but franchisor decision to transition off. AT-RISK status, not greenfield. Engagement is RETENTION + relationship reset.</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Persona Access</w:t>
            </w:r>
          </w:p>
        </w:tc>
        <w:tc>
          <w:tcPr>
            <w:tcW w:type="dxa" w:w="1296"/>
            <w:tcBorders>
              <w:top w:val="single" w:sz="4" w:color="CCCCCC"/>
              <w:left w:val="single" w:sz="4" w:color="CCCCCC"/>
              <w:bottom w:val="single" w:sz="4" w:color="CCCCCC"/>
              <w:right w:val="single" w:sz="4" w:color="CCCCCC"/>
            </w:tcBorders>
            <w:shd w:val="clear" w:color="auto" w:fill="FFF1E0"/>
          </w:tcPr>
          <w:p>
            <w:pPr>
              <w:spacing w:after="0"/>
              <w:jc w:val="center"/>
            </w:pPr>
            <w:r>
              <w:rPr>
                <w:rFonts w:ascii="Calibri" w:hAnsi="Calibri"/>
                <w:b/>
                <w:color w:val="C25E1A"/>
                <w:sz w:val="18"/>
              </w:rPr>
              <w:t>CAUTION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USA Insulation Brand President TBV. Ted DeMarino CEO Threshold (newer in role, retail/finance background — no franchise FSM context). Billy Newby CFO. Multiple executive departures late 2025 = relationship rebuild required.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Commercial / Consumer Mix</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Primarily residential homeowner insulation. Some light commercial. Project-based 1-2 day installs. Energy-efficiency tailwind.</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BPO in place</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corporate.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QuickBooks deployed</w:t>
            </w:r>
          </w:p>
        </w:tc>
        <w:tc>
          <w:tcPr>
            <w:tcW w:type="dxa" w:w="1296"/>
            <w:tcBorders>
              <w:top w:val="single" w:sz="4" w:color="CCCCCC"/>
              <w:left w:val="single" w:sz="4" w:color="CCCCCC"/>
              <w:bottom w:val="single" w:sz="4" w:color="CCCCCC"/>
              <w:right w:val="single" w:sz="4" w:color="CCCCCC"/>
            </w:tcBorders>
            <w:shd w:val="clear" w:color="auto" w:fill="F3F4F6"/>
          </w:tcPr>
          <w:p>
            <w:pPr>
              <w:spacing w:after="0"/>
              <w:jc w:val="center"/>
            </w:pPr>
            <w:r>
              <w:rPr>
                <w:rFonts w:ascii="Calibri" w:hAnsi="Calibri"/>
                <w:b/>
                <w:color w:val="6B7280"/>
                <w:sz w:val="18"/>
              </w:rPr>
              <w:t>UNKNOWN</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Insulation franchisees = typical QB users. Validate.</w:t>
            </w:r>
          </w:p>
        </w:tc>
      </w:tr>
      <w:tr>
        <w:tc>
          <w:tcPr>
            <w:tcW w:type="dxa" w:w="2016"/>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Events attended</w:t>
            </w:r>
          </w:p>
        </w:tc>
        <w:tc>
          <w:tcPr>
            <w:tcW w:type="dxa" w:w="1296"/>
            <w:tcBorders>
              <w:top w:val="single" w:sz="4" w:color="CCCCCC"/>
              <w:left w:val="single" w:sz="4" w:color="CCCCCC"/>
              <w:bottom w:val="single" w:sz="4" w:color="CCCCCC"/>
              <w:right w:val="single" w:sz="4" w:color="CCCCCC"/>
            </w:tcBorders>
            <w:shd w:val="clear" w:color="auto" w:fill="E8F4EE"/>
          </w:tcPr>
          <w:p>
            <w:pPr>
              <w:spacing w:after="0"/>
              <w:jc w:val="center"/>
            </w:pPr>
            <w:r>
              <w:rPr>
                <w:rFonts w:ascii="Calibri" w:hAnsi="Calibri"/>
                <w:b/>
                <w:color w:val="2D6A4F"/>
                <w:sz w:val="18"/>
              </w:rPr>
              <w:t>STRONG</w:t>
            </w:r>
          </w:p>
        </w:tc>
        <w:tc>
          <w:tcPr>
            <w:tcW w:type="dxa" w:w="6768"/>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Threshold Brands Summit. SPFA (Spray Polyurethane Foam Alliance). NIA (National Insulation Association). ICAA (Insulation Contractors Association of America).</w:t>
            </w:r>
          </w:p>
        </w:tc>
      </w:tr>
    </w:tbl>
    <w:p>
      <w:pPr>
        <w:spacing w:after="80"/>
      </w:pPr>
    </w:p>
    <w:p>
      <w:pPr>
        <w:spacing w:before="160" w:after="80"/>
      </w:pPr>
      <w:r>
        <w:rPr>
          <w:rFonts w:ascii="Calibri" w:hAnsi="Calibri"/>
          <w:b/>
          <w:color w:val="1A2B3C"/>
          <w:sz w:val="26"/>
        </w:rPr>
        <w:t>WHAT WE'D LEVERAGE  ·  WHAT WE'D CHALLENGE</w:t>
      </w:r>
    </w:p>
    <w:tbl>
      <w:tblPr>
        <w:tblW w:type="auto" w:w="0"/>
        <w:jc w:val="center"/>
        <w:tblLook w:firstColumn="1" w:firstRow="1" w:lastColumn="0" w:lastRow="0" w:noHBand="0" w:noVBand="1" w:val="04A0"/>
      </w:tblPr>
      <w:tblGrid>
        <w:gridCol w:w="5040"/>
        <w:gridCol w:w="5040"/>
      </w:tblGrid>
      <w:tr>
        <w:tc>
          <w:tcPr>
            <w:tcW w:type="dxa" w:w="5040"/>
            <w:shd w:val="clear" w:color="auto" w:fill="E8F4EE"/>
            <w:tcBorders>
              <w:top w:val="single" w:sz="6" w:color="2D6A4F"/>
              <w:left w:val="single" w:sz="6" w:color="2D6A4F"/>
              <w:bottom w:val="single" w:sz="6" w:color="2D6A4F"/>
              <w:right w:val="single" w:sz="6" w:color="2D6A4F"/>
            </w:tcBorders>
          </w:tcPr>
          <w:p>
            <w:pPr>
              <w:spacing w:after="0"/>
            </w:pPr>
            <w:r>
              <w:rPr>
                <w:rFonts w:ascii="Calibri" w:hAnsi="Calibri"/>
                <w:b/>
                <w:color w:val="2D6A4F"/>
                <w:sz w:val="20"/>
              </w:rPr>
              <w:t>WHAT WE'D LEVERAGE</w:t>
            </w:r>
          </w:p>
        </w:tc>
        <w:tc>
          <w:tcPr>
            <w:tcW w:type="dxa" w:w="5040"/>
            <w:shd w:val="clear" w:color="auto" w:fill="F4D9D9"/>
            <w:tcBorders>
              <w:top w:val="single" w:sz="6" w:color="A32D2D"/>
              <w:left w:val="single" w:sz="6" w:color="A32D2D"/>
              <w:bottom w:val="single" w:sz="6" w:color="A32D2D"/>
              <w:right w:val="single" w:sz="6" w:color="A32D2D"/>
            </w:tcBorders>
          </w:tcPr>
          <w:p>
            <w:pPr>
              <w:spacing w:after="0"/>
            </w:pPr>
            <w:r>
              <w:rPr>
                <w:rFonts w:ascii="Calibri" w:hAnsi="Calibri"/>
                <w:b/>
                <w:color w:val="A32D2D"/>
                <w:sz w:val="20"/>
              </w:rPr>
              <w:t>WHAT WE'D CHALLENGE</w:t>
            </w:r>
          </w:p>
        </w:tc>
      </w:tr>
      <w:tr>
        <w:tc>
          <w:tcPr>
            <w:tcW w:type="dxa" w:w="5040"/>
            <w:tcBorders>
              <w:top w:val="single" w:sz="4" w:color="2D6A4F"/>
              <w:left w:val="single" w:sz="4" w:color="2D6A4F"/>
              <w:bottom w:val="single" w:sz="4" w:color="2D6A4F"/>
              <w:right w:val="single" w:sz="4" w:color="2D6A4F"/>
            </w:tcBorders>
          </w:tcPr>
          <w:p>
            <w:pPr>
              <w:spacing w:after="0"/>
            </w:pPr>
            <w:r/>
          </w:p>
          <w:p>
            <w:pPr>
              <w:spacing w:after="60"/>
              <w:ind w:left="144"/>
            </w:pPr>
            <w:r>
              <w:rPr>
                <w:rFonts w:ascii="Calibri" w:hAnsi="Calibri"/>
                <w:b/>
                <w:color w:val="2D6A4F"/>
                <w:sz w:val="20"/>
              </w:rPr>
              <w:t xml:space="preserve">▸ </w:t>
            </w:r>
            <w:r>
              <w:rPr>
                <w:rFonts w:ascii="Calibri" w:hAnsi="Calibri"/>
                <w:color w:val="374151"/>
                <w:sz w:val="18"/>
              </w:rPr>
              <w:t>75% existing adoption. We're already in the door — leverage existing franchisee relationships.</w:t>
            </w:r>
          </w:p>
          <w:p>
            <w:pPr>
              <w:spacing w:after="60"/>
              <w:ind w:left="144"/>
            </w:pPr>
            <w:r>
              <w:rPr>
                <w:rFonts w:ascii="Calibri" w:hAnsi="Calibri"/>
                <w:b/>
                <w:color w:val="2D6A4F"/>
                <w:sz w:val="20"/>
              </w:rPr>
              <w:t xml:space="preserve">▸ </w:t>
            </w:r>
            <w:r>
              <w:rPr>
                <w:rFonts w:ascii="Calibri" w:hAnsi="Calibri"/>
                <w:color w:val="374151"/>
                <w:sz w:val="18"/>
              </w:rPr>
              <w:t>Andrea direct intel source on transition driver. Critical to understand BEFORE next outreach.</w:t>
            </w:r>
          </w:p>
          <w:p>
            <w:pPr>
              <w:spacing w:after="60"/>
              <w:ind w:left="144"/>
            </w:pPr>
            <w:r>
              <w:rPr>
                <w:rFonts w:ascii="Calibri" w:hAnsi="Calibri"/>
                <w:b/>
                <w:color w:val="2D6A4F"/>
                <w:sz w:val="20"/>
              </w:rPr>
              <w:t xml:space="preserve">▸ </w:t>
            </w:r>
            <w:r>
              <w:rPr>
                <w:rFonts w:ascii="Calibri" w:hAnsi="Calibri"/>
                <w:color w:val="374151"/>
                <w:sz w:val="18"/>
              </w:rPr>
              <w:t>Cross-brand wedge. Defending USA Insulation = preserving access to remaining 9 Threshold brands.</w:t>
            </w:r>
          </w:p>
          <w:p>
            <w:pPr>
              <w:spacing w:after="60"/>
              <w:ind w:left="144"/>
            </w:pPr>
            <w:r>
              <w:rPr>
                <w:rFonts w:ascii="Calibri" w:hAnsi="Calibri"/>
                <w:b/>
                <w:color w:val="2D6A4F"/>
                <w:sz w:val="20"/>
              </w:rPr>
              <w:t xml:space="preserve">▸ </w:t>
            </w:r>
            <w:r>
              <w:rPr>
                <w:rFonts w:ascii="Calibri" w:hAnsi="Calibri"/>
                <w:color w:val="374151"/>
                <w:sz w:val="18"/>
              </w:rPr>
              <w:t>Energy-efficiency tailwind. Insulation demand structurally growing.</w:t>
            </w:r>
          </w:p>
          <w:p>
            <w:pPr>
              <w:spacing w:after="60"/>
              <w:ind w:left="144"/>
            </w:pPr>
            <w:r>
              <w:rPr>
                <w:rFonts w:ascii="Calibri" w:hAnsi="Calibri"/>
                <w:b/>
                <w:color w:val="2D6A4F"/>
                <w:sz w:val="20"/>
              </w:rPr>
              <w:t xml:space="preserve">▸ </w:t>
            </w:r>
            <w:r>
              <w:rPr>
                <w:rFonts w:ascii="Calibri" w:hAnsi="Calibri"/>
                <w:color w:val="374151"/>
                <w:sz w:val="18"/>
              </w:rPr>
              <w:t>Riverside PE coordination opportunity. Same firm owns Evive — coordinated pivot conversation possible.</w:t>
            </w:r>
          </w:p>
          <w:p>
            <w:pPr>
              <w:spacing w:after="60"/>
              <w:ind w:left="144"/>
            </w:pPr>
            <w:r>
              <w:rPr>
                <w:rFonts w:ascii="Calibri" w:hAnsi="Calibri"/>
                <w:b/>
                <w:color w:val="2D6A4F"/>
                <w:sz w:val="20"/>
              </w:rPr>
              <w:t xml:space="preserve">▸ </w:t>
            </w:r>
            <w:r>
              <w:rPr>
                <w:rFonts w:ascii="Calibri" w:hAnsi="Calibri"/>
                <w:color w:val="374151"/>
                <w:sz w:val="18"/>
              </w:rPr>
              <w:t>USA Insulation franchisees may push back on transition. Operator-level inbound = retention intel.</w:t>
            </w:r>
          </w:p>
        </w:tc>
        <w:tc>
          <w:tcPr>
            <w:tcW w:type="dxa" w:w="5040"/>
            <w:tcBorders>
              <w:top w:val="single" w:sz="4" w:color="A32D2D"/>
              <w:left w:val="single" w:sz="4" w:color="A32D2D"/>
              <w:bottom w:val="single" w:sz="4" w:color="A32D2D"/>
              <w:right w:val="single" w:sz="4" w:color="A32D2D"/>
            </w:tcBorders>
          </w:tcPr>
          <w:p>
            <w:pPr>
              <w:spacing w:after="0"/>
            </w:pPr>
            <w:r/>
          </w:p>
          <w:p>
            <w:pPr>
              <w:spacing w:after="60"/>
              <w:ind w:left="144"/>
            </w:pPr>
            <w:r>
              <w:rPr>
                <w:rFonts w:ascii="Calibri" w:hAnsi="Calibri"/>
                <w:b/>
                <w:color w:val="A32D2D"/>
                <w:sz w:val="20"/>
              </w:rPr>
              <w:t xml:space="preserve">▸ </w:t>
            </w:r>
            <w:r>
              <w:rPr>
                <w:rFonts w:ascii="Calibri" w:hAnsi="Calibri"/>
                <w:color w:val="374151"/>
                <w:sz w:val="18"/>
              </w:rPr>
              <w:t>★ Franchisor decision to transition off SB. AT-RISK status. Defending more than expanding.</w:t>
            </w:r>
          </w:p>
          <w:p>
            <w:pPr>
              <w:spacing w:after="60"/>
              <w:ind w:left="144"/>
            </w:pPr>
            <w:r>
              <w:rPr>
                <w:rFonts w:ascii="Calibri" w:hAnsi="Calibri"/>
                <w:b/>
                <w:color w:val="A32D2D"/>
                <w:sz w:val="20"/>
              </w:rPr>
              <w:t xml:space="preserve">▸ </w:t>
            </w:r>
            <w:r>
              <w:rPr>
                <w:rFonts w:ascii="Calibri" w:hAnsi="Calibri"/>
                <w:color w:val="374151"/>
                <w:sz w:val="18"/>
              </w:rPr>
              <w:t>Full Threshold leadership reset late 2025. Decision-makers are new — no relationship history.</w:t>
            </w:r>
          </w:p>
          <w:p>
            <w:pPr>
              <w:spacing w:after="60"/>
              <w:ind w:left="144"/>
            </w:pPr>
            <w:r>
              <w:rPr>
                <w:rFonts w:ascii="Calibri" w:hAnsi="Calibri"/>
                <w:b/>
                <w:color w:val="A32D2D"/>
                <w:sz w:val="20"/>
              </w:rPr>
              <w:t xml:space="preserve">▸ </w:t>
            </w:r>
            <w:r>
              <w:rPr>
                <w:rFonts w:ascii="Calibri" w:hAnsi="Calibri"/>
                <w:color w:val="374151"/>
                <w:sz w:val="18"/>
              </w:rPr>
              <w:t>Ted DeMarino background (Liberty Tax + Rent-A-Center) = retail operations focus, not franchise FSM context.</w:t>
            </w:r>
          </w:p>
          <w:p>
            <w:pPr>
              <w:spacing w:after="60"/>
              <w:ind w:left="144"/>
            </w:pPr>
            <w:r>
              <w:rPr>
                <w:rFonts w:ascii="Calibri" w:hAnsi="Calibri"/>
                <w:b/>
                <w:color w:val="A32D2D"/>
                <w:sz w:val="20"/>
              </w:rPr>
              <w:t xml:space="preserve">▸ </w:t>
            </w:r>
            <w:r>
              <w:rPr>
                <w:rFonts w:ascii="Calibri" w:hAnsi="Calibri"/>
                <w:color w:val="374151"/>
                <w:sz w:val="18"/>
              </w:rPr>
              <w:t>Brand-pres TBV with no clear identification.</w:t>
            </w:r>
          </w:p>
          <w:p>
            <w:pPr>
              <w:spacing w:after="60"/>
              <w:ind w:left="144"/>
            </w:pPr>
            <w:r>
              <w:rPr>
                <w:rFonts w:ascii="Calibri" w:hAnsi="Calibri"/>
                <w:b/>
                <w:color w:val="A32D2D"/>
                <w:sz w:val="20"/>
              </w:rPr>
              <w:t xml:space="preserve">▸ </w:t>
            </w:r>
            <w:r>
              <w:rPr>
                <w:rFonts w:ascii="Calibri" w:hAnsi="Calibri"/>
                <w:color w:val="374151"/>
                <w:sz w:val="18"/>
              </w:rPr>
              <w:t>Smallest engageable scale defending. 75 locs · 300 techs.</w:t>
            </w:r>
          </w:p>
          <w:p>
            <w:pPr>
              <w:spacing w:after="60"/>
              <w:ind w:left="144"/>
            </w:pPr>
            <w:r>
              <w:rPr>
                <w:rFonts w:ascii="Calibri" w:hAnsi="Calibri"/>
                <w:b/>
                <w:color w:val="A32D2D"/>
                <w:sz w:val="20"/>
              </w:rPr>
              <w:t xml:space="preserve">▸ </w:t>
            </w:r>
            <w:r>
              <w:rPr>
                <w:rFonts w:ascii="Calibri" w:hAnsi="Calibri"/>
                <w:color w:val="374151"/>
                <w:sz w:val="18"/>
              </w:rPr>
              <w:t>ServiceBridge displacement story may already be locked in.</w:t>
            </w:r>
          </w:p>
        </w:tc>
      </w:tr>
    </w:tbl>
    <w:p>
      <w:pPr>
        <w:spacing w:after="80"/>
      </w:pPr>
    </w:p>
    <w:p>
      <w:pPr>
        <w:spacing w:before="160" w:after="80"/>
      </w:pPr>
      <w:r>
        <w:rPr>
          <w:rFonts w:ascii="Calibri" w:hAnsi="Calibri"/>
          <w:b/>
          <w:color w:val="1A2B3C"/>
          <w:sz w:val="26"/>
        </w:rPr>
        <w:t>PERSONA MAP</w:t>
      </w:r>
    </w:p>
    <w:tbl>
      <w:tblPr>
        <w:tblW w:type="auto" w:w="0"/>
        <w:jc w:val="center"/>
        <w:tblLook w:firstColumn="1" w:firstRow="1" w:lastColumn="0" w:lastRow="0" w:noHBand="0" w:noVBand="1" w:val="04A0"/>
      </w:tblPr>
      <w:tblGrid>
        <w:gridCol w:w="3360"/>
        <w:gridCol w:w="3360"/>
        <w:gridCol w:w="3360"/>
      </w:tblGrid>
      <w:tr>
        <w:tc>
          <w:tcPr>
            <w:tcW w:type="dxa" w:w="288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NAME &amp; ROLE</w:t>
            </w:r>
          </w:p>
        </w:tc>
        <w:tc>
          <w:tcPr>
            <w:tcW w:type="dxa" w:w="504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WHY THEY MATTER</w:t>
            </w:r>
          </w:p>
        </w:tc>
        <w:tc>
          <w:tcPr>
            <w:tcW w:type="dxa" w:w="2160"/>
            <w:shd w:val="clear" w:color="auto" w:fill="1A2B3C"/>
            <w:tcBorders>
              <w:top w:val="single" w:sz="4" w:color="1A2B3C"/>
              <w:left w:val="single" w:sz="4" w:color="1A2B3C"/>
              <w:bottom w:val="single" w:sz="4" w:color="1A2B3C"/>
              <w:right w:val="single" w:sz="4" w:color="1A2B3C"/>
            </w:tcBorders>
          </w:tcPr>
          <w:p>
            <w:pPr>
              <w:spacing w:after="0"/>
            </w:pPr>
            <w:r>
              <w:rPr>
                <w:rFonts w:ascii="Calibri" w:hAnsi="Calibri"/>
                <w:b/>
                <w:color w:val="FFFFFF"/>
                <w:sz w:val="18"/>
              </w:rPr>
              <w:t>PATH</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Ted DeMarino</w:t>
            </w:r>
          </w:p>
          <w:p>
            <w:pPr>
              <w:spacing w:after="0"/>
            </w:pPr>
            <w:r>
              <w:rPr>
                <w:rFonts w:ascii="Calibri" w:hAnsi="Calibri"/>
                <w:color w:val="6B7280"/>
                <w:sz w:val="16"/>
              </w:rPr>
              <w:t>CEO · Threshold Brands (since 2024)</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Replaced Hagan Kappler. Liberty Tax + Rent-A-Center background. Retail operations focus. Newer to franchise FSM context.</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2D6A4F"/>
                <w:sz w:val="18"/>
              </w:rPr>
              <w:t>★ CEO reset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Billy Newby</w:t>
            </w:r>
          </w:p>
          <w:p>
            <w:pPr>
              <w:spacing w:after="0"/>
            </w:pPr>
            <w:r>
              <w:rPr>
                <w:rFonts w:ascii="Calibri" w:hAnsi="Calibri"/>
                <w:color w:val="6B7280"/>
                <w:sz w:val="16"/>
              </w:rPr>
              <w:t>CFO · Threshold Brands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Financial gatekeeper. Critical for any platform-level pricing conversation.</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Cory Hughes</w:t>
            </w:r>
          </w:p>
          <w:p>
            <w:pPr>
              <w:spacing w:after="0"/>
            </w:pPr>
            <w:r>
              <w:rPr>
                <w:rFonts w:ascii="Calibri" w:hAnsi="Calibri"/>
                <w:color w:val="6B7280"/>
                <w:sz w:val="16"/>
              </w:rPr>
              <w:t>COO · Threshold Brands</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Operations across all brands.</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LinkedIn primary</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USA Insulation Brand President</w:t>
            </w:r>
          </w:p>
          <w:p>
            <w:pPr>
              <w:spacing w:after="0"/>
            </w:pPr>
            <w:r>
              <w:rPr>
                <w:rFonts w:ascii="Calibri" w:hAnsi="Calibri"/>
                <w:color w:val="6B7280"/>
                <w:sz w:val="16"/>
              </w:rPr>
              <w:t>TBV</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Brand-level decision authority. Identification urgent.</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Research task</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Loren Schlachet</w:t>
            </w:r>
          </w:p>
          <w:p>
            <w:pPr>
              <w:spacing w:after="0"/>
            </w:pPr>
            <w:r>
              <w:rPr>
                <w:rFonts w:ascii="Calibri" w:hAnsi="Calibri"/>
                <w:color w:val="6B7280"/>
                <w:sz w:val="16"/>
              </w:rPr>
              <w:t>Managing Partner · Riverside</w:t>
            </w:r>
          </w:p>
        </w:tc>
        <w:tc>
          <w:tcPr>
            <w:tcW w:type="dxa" w:w="504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PE-level. Riverside owns both Evive + Threshold = coordinated.</w:t>
            </w:r>
          </w:p>
        </w:tc>
        <w:tc>
          <w:tcPr>
            <w:tcW w:type="dxa" w:w="2160"/>
            <w:tcBorders>
              <w:top w:val="single" w:sz="4" w:color="CCCCCC"/>
              <w:left w:val="single" w:sz="4" w:color="CCCCCC"/>
              <w:bottom w:val="single" w:sz="4" w:color="CCCCCC"/>
              <w:right w:val="single" w:sz="4" w:color="CCCCCC"/>
            </w:tcBorders>
          </w:tcPr>
          <w:p>
            <w:pPr>
              <w:spacing w:after="0"/>
            </w:pPr>
            <w:r>
              <w:rPr>
                <w:rFonts w:ascii="Calibri" w:hAnsi="Calibri"/>
                <w:b/>
                <w:color w:val="C25E1A"/>
                <w:sz w:val="18"/>
              </w:rPr>
              <w:t>Via GPSI/Charles</w:t>
            </w:r>
          </w:p>
        </w:tc>
      </w:tr>
    </w:tbl>
    <w:p>
      <w:pPr>
        <w:spacing w:after="80"/>
      </w:pPr>
    </w:p>
    <w:p>
      <w:pPr>
        <w:spacing w:before="160" w:after="80"/>
      </w:pPr>
      <w:r>
        <w:rPr>
          <w:rFonts w:ascii="Calibri" w:hAnsi="Calibri"/>
          <w:b/>
          <w:color w:val="1A2B3C"/>
          <w:sz w:val="26"/>
        </w:rPr>
        <w:t>EVENTS TO ENGAGE</w:t>
      </w:r>
    </w:p>
    <w:p>
      <w:pPr>
        <w:spacing w:after="40"/>
        <w:ind w:left="144"/>
      </w:pPr>
      <w:r>
        <w:rPr>
          <w:rFonts w:ascii="Calibri" w:hAnsi="Calibri"/>
          <w:b/>
          <w:color w:val="185FA5"/>
          <w:sz w:val="18"/>
        </w:rPr>
        <w:t xml:space="preserve">Annual  ·  </w:t>
      </w:r>
      <w:r>
        <w:rPr>
          <w:rFonts w:ascii="Calibri" w:hAnsi="Calibri"/>
          <w:b/>
          <w:color w:val="1A2B3C"/>
          <w:sz w:val="20"/>
        </w:rPr>
        <w:t>Threshold Brands Summit</w:t>
      </w:r>
    </w:p>
    <w:p>
      <w:pPr>
        <w:spacing w:after="80"/>
        <w:ind w:left="576"/>
      </w:pPr>
      <w:r>
        <w:rPr>
          <w:rFonts w:ascii="Calibri" w:hAnsi="Calibri"/>
          <w:color w:val="374151"/>
          <w:sz w:val="18"/>
        </w:rPr>
        <w:t>Single-room access if accessible.</w:t>
      </w:r>
    </w:p>
    <w:p>
      <w:pPr>
        <w:spacing w:after="40"/>
        <w:ind w:left="144"/>
      </w:pPr>
      <w:r>
        <w:rPr>
          <w:rFonts w:ascii="Calibri" w:hAnsi="Calibri"/>
          <w:b/>
          <w:color w:val="185FA5"/>
          <w:sz w:val="18"/>
        </w:rPr>
        <w:t xml:space="preserve">Annual (Feb)  ·  </w:t>
      </w:r>
      <w:r>
        <w:rPr>
          <w:rFonts w:ascii="Calibri" w:hAnsi="Calibri"/>
          <w:b/>
          <w:color w:val="1A2B3C"/>
          <w:sz w:val="20"/>
        </w:rPr>
        <w:t>SPFA Conference</w:t>
      </w:r>
    </w:p>
    <w:p>
      <w:pPr>
        <w:spacing w:after="80"/>
        <w:ind w:left="576"/>
      </w:pPr>
      <w:r>
        <w:rPr>
          <w:rFonts w:ascii="Calibri" w:hAnsi="Calibri"/>
          <w:color w:val="374151"/>
          <w:sz w:val="18"/>
        </w:rPr>
        <w:t>Spray Polyurethane Foam Alliance.</w:t>
      </w:r>
    </w:p>
    <w:p>
      <w:pPr>
        <w:spacing w:after="40"/>
        <w:ind w:left="144"/>
      </w:pPr>
      <w:r>
        <w:rPr>
          <w:rFonts w:ascii="Calibri" w:hAnsi="Calibri"/>
          <w:b/>
          <w:color w:val="185FA5"/>
          <w:sz w:val="18"/>
        </w:rPr>
        <w:t xml:space="preserve">Annual  ·  </w:t>
      </w:r>
      <w:r>
        <w:rPr>
          <w:rFonts w:ascii="Calibri" w:hAnsi="Calibri"/>
          <w:b/>
          <w:color w:val="1A2B3C"/>
          <w:sz w:val="20"/>
        </w:rPr>
        <w:t>NIA + ICAA</w:t>
      </w:r>
    </w:p>
    <w:p>
      <w:pPr>
        <w:spacing w:after="80"/>
        <w:ind w:left="576"/>
      </w:pPr>
      <w:r>
        <w:rPr>
          <w:rFonts w:ascii="Calibri" w:hAnsi="Calibri"/>
          <w:color w:val="374151"/>
          <w:sz w:val="18"/>
        </w:rPr>
        <w:t>Insulation industry events.</w:t>
      </w:r>
    </w:p>
    <w:p>
      <w:pPr>
        <w:spacing w:before="160" w:after="80"/>
      </w:pPr>
      <w:r>
        <w:rPr>
          <w:rFonts w:ascii="Calibri" w:hAnsi="Calibri"/>
          <w:b/>
          <w:color w:val="6B7280"/>
          <w:sz w:val="22"/>
        </w:rPr>
        <w:t>HOW WE SCORED THIS</w:t>
      </w:r>
    </w:p>
    <w:p>
      <w:pPr>
        <w:spacing w:after="120" w:line="300" w:lineRule="auto"/>
      </w:pPr>
      <w:r>
        <w:rPr>
          <w:rFonts w:ascii="Calibri" w:hAnsi="Calibri"/>
          <w:i/>
          <w:color w:val="374151"/>
          <w:sz w:val="20"/>
        </w:rPr>
        <w:t>Score 105 (T1 NorthStar AT-RISK) per Track 2 v2 matrix. Drivers: 75% existing ServiceBridge adoption (defensive value), cross-brand wedge to remaining Threshold brands, Riverside PE coordination opportunity. Reduced by franchisor decision to transition off (AT-RISK status), full leadership reset late 2025, Ted DeMarino unfamiliarity with franchise FSM context. RETENTION posture, not expansion. Threshold parent +20 NorthStar bonus (lower than Evive reflecting AT-RISK status).</w:t>
      </w:r>
    </w:p>
    <w:p>
      <w:pPr>
        <w:spacing w:before="160" w:after="80"/>
      </w:pPr>
      <w:r>
        <w:rPr>
          <w:rFonts w:ascii="Calibri" w:hAnsi="Calibri"/>
          <w:b/>
          <w:color w:val="1A2B3C"/>
          <w:sz w:val="22"/>
        </w:rPr>
        <w:t>SIGN-OFF &amp; NEXT STEPS</w:t>
      </w:r>
    </w:p>
    <w:tbl>
      <w:tblPr>
        <w:tblW w:type="auto" w:w="0"/>
        <w:jc w:val="center"/>
        <w:tblLook w:firstColumn="1" w:firstRow="1" w:lastColumn="0" w:lastRow="0" w:noHBand="0" w:noVBand="1" w:val="04A0"/>
      </w:tblPr>
      <w:tblGrid>
        <w:gridCol w:w="5040"/>
        <w:gridCol w:w="5040"/>
      </w:tblGrid>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Owner</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Mike Flynt · Velocity GTM Co LLC</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GPSI Coordination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Andrea Rowan (GM ServiceBridge), Charles Layne (CEO), Garrett Else (CFO)</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Source of truth</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Track 2 P1+P2 Brand Priority Matrix v2 · CRM v15.6 · Threshold Brands parent context</w:t>
            </w:r>
          </w:p>
        </w:tc>
      </w:tr>
      <w:tr>
        <w:tc>
          <w:tcPr>
            <w:tcW w:type="dxa" w:w="2880"/>
            <w:tcBorders>
              <w:top w:val="single" w:sz="4" w:color="CCCCCC"/>
              <w:left w:val="single" w:sz="4" w:color="CCCCCC"/>
              <w:bottom w:val="single" w:sz="4" w:color="CCCCCC"/>
              <w:right w:val="single" w:sz="4" w:color="CCCCCC"/>
            </w:tcBorders>
            <w:shd w:val="clear" w:color="auto" w:fill="F7F8FA"/>
          </w:tcPr>
          <w:p>
            <w:pPr>
              <w:spacing w:after="0"/>
            </w:pPr>
            <w:r>
              <w:rPr>
                <w:rFonts w:ascii="Calibri" w:hAnsi="Calibri"/>
                <w:b/>
                <w:color w:val="1A2B3C"/>
                <w:sz w:val="18"/>
              </w:rPr>
              <w:t>Document version</w:t>
            </w:r>
          </w:p>
        </w:tc>
        <w:tc>
          <w:tcPr>
            <w:tcW w:type="dxa" w:w="7200"/>
            <w:tcBorders>
              <w:top w:val="single" w:sz="4" w:color="CCCCCC"/>
              <w:left w:val="single" w:sz="4" w:color="CCCCCC"/>
              <w:bottom w:val="single" w:sz="4" w:color="CCCCCC"/>
              <w:right w:val="single" w:sz="4" w:color="CCCCCC"/>
            </w:tcBorders>
          </w:tcPr>
          <w:p>
            <w:pPr>
              <w:spacing w:after="0"/>
            </w:pPr>
            <w:r>
              <w:rPr>
                <w:rFonts w:ascii="Calibri" w:hAnsi="Calibri"/>
                <w:color w:val="374151"/>
                <w:sz w:val="18"/>
              </w:rPr>
              <w:t>v1.0 · May 1, 2026 · ServiceBridge GTM Engagement</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