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0F1B3D"/>
          <w:sz w:val="48"/>
          <w:szCs w:val="48"/>
        </w:rPr>
        <w:t xml:space="preserve">BEX AUDITORIA</w:t>
      </w:r>
    </w:p>
    <w:p>
      <w:pPr>
        <w:spacing w:after="600"/>
        <w:jc w:val="center"/>
      </w:pPr>
      <w:r>
        <w:rPr>
          <w:color w:val="2D5BD9"/>
          <w:sz w:val="24"/>
          <w:szCs w:val="24"/>
        </w:rPr>
        <w:t xml:space="preserve">Auditor Contábil Sênior IA</w:t>
      </w:r>
    </w:p>
    <w:p>
      <w:pPr>
        <w:spacing w:after="240"/>
        <w:jc w:val="center"/>
      </w:pPr>
      <w:r>
        <w:rPr>
          <w:b/>
          <w:bCs/>
          <w:color w:val="0F1B3D"/>
          <w:sz w:val="36"/>
          <w:szCs w:val="36"/>
        </w:rPr>
        <w:t xml:space="preserve">Relatório de Indicadores × Auditoria</w:t>
      </w:r>
    </w:p>
    <w:p>
      <w:pPr>
        <w:spacing w:after="120"/>
        <w:jc w:val="center"/>
      </w:pPr>
      <w:r>
        <w:rPr>
          <w:color w:val="2D5BD9"/>
          <w:sz w:val="28"/>
          <w:szCs w:val="28"/>
        </w:rPr>
        <w:t xml:space="preserve">Versão Auditor — v5</w:t>
      </w:r>
    </w:p>
    <w:p>
      <w:pPr>
        <w:spacing w:after="120"/>
        <w:jc w:val="center"/>
      </w:pPr>
      <w:r>
        <w:rPr>
          <w:sz w:val="22"/>
          <w:szCs w:val="22"/>
        </w:rPr>
        <w:t xml:space="preserve">Período: Setembro/2025 a Março/2026 (7 meses)</w:t>
      </w:r>
    </w:p>
    <w:p>
      <w:pPr>
        <w:spacing w:after="120"/>
        <w:jc w:val="center"/>
      </w:pPr>
      <w:r>
        <w:rPr>
          <w:i/>
          <w:iCs/>
          <w:color w:val="555555"/>
          <w:sz w:val="20"/>
          <w:szCs w:val="20"/>
        </w:rPr>
        <w:t xml:space="preserve">Base: DIP setembro-25 a março-26</w:t>
      </w:r>
    </w:p>
    <w:p>
      <w:pPr>
        <w:spacing w:after="240"/>
        <w:jc w:val="center"/>
      </w:pPr>
      <w:r>
        <w:rPr>
          <w:sz w:val="20"/>
          <w:szCs w:val="20"/>
        </w:rPr>
        <w:t xml:space="preserve">Emitido em 02/06/2026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F1B3D"/>
        </w:rPr>
        <w:t xml:space="preserve">1. Sumário Executivo</w:t>
      </w:r>
    </w:p>
    <w:p>
      <w:pPr>
        <w:spacing w:after="80"/>
      </w:pPr>
      <w:r>
        <w:t xml:space="preserve">Esta versão (v5) atualiza o Relatório de Indicadores × Auditoria com base no balancete consolidado DIP (Demonstrativo de Posição) de setembro/2025 a março/2026 — sete meses contínuos. A análise contempla exclusivamente o Balanço Patrimonial, pois o arquivo-fonte não contém movimentações da Demonstração do Resultado (DRE).</w:t>
      </w:r>
    </w:p>
    <w:p>
      <w:pPr>
        <w:spacing w:after="80"/>
      </w:pPr>
      <w:r>
        <w:rPr>
          <w:color w:val="C00000"/>
        </w:rPr>
        <w:t xml:space="preserve">Patrimônio Líquido encolheu de R$ 7.867.839,61 em Set/25 para R$ 1.040.966,90 em Mar/26 (variação de -86,77%), evidenciando consumo do PL próximo da insolvência técnica.</w:t>
      </w:r>
    </w:p>
    <w:p>
      <w:pPr>
        <w:spacing w:after="80"/>
      </w:pPr>
      <w:r>
        <w:t xml:space="preserve">Capital de Terceiros (PC + PNC) representa 99,69% do Ativo Total em Mar/26 — endividamento crítico.</w:t>
      </w:r>
    </w:p>
    <w:p>
      <w:pPr>
        <w:spacing w:after="80"/>
      </w:pPr>
      <w:r>
        <w:t xml:space="preserve">Não há Passivo Não Circulante (PNC) destacado no balancete: todo o passivo está classificado como circulante, ampliando a pressão de liquidez de curto prazo.</w:t>
      </w:r>
    </w:p>
    <w:p>
      <w:pPr>
        <w:pStyle w:val="Heading1"/>
        <w:spacing w:after="120" w:before="240"/>
      </w:pPr>
      <w:r>
        <w:rPr>
          <w:b/>
          <w:bCs/>
          <w:color w:val="0F1B3D"/>
        </w:rPr>
        <w:t xml:space="preserve">2. Premissas e Metodologia</w:t>
      </w:r>
    </w:p>
    <w:p>
      <w:pPr>
        <w:pStyle w:val="ListParagraph"/>
        <w:numPr>
          <w:ilvl w:val="0"/>
          <w:numId w:val="2"/>
        </w:numPr>
      </w:pPr>
      <w:r>
        <w:t xml:space="preserve">Fonte primária: arquivo DIP_setembro-25_a_março-26.xlsx (Planilha1 — 199 linhas, 7 colunas mensais).</w:t>
      </w:r>
    </w:p>
    <w:p>
      <w:pPr>
        <w:pStyle w:val="ListParagraph"/>
        <w:numPr>
          <w:ilvl w:val="0"/>
          <w:numId w:val="2"/>
        </w:numPr>
      </w:pPr>
      <w:r>
        <w:t xml:space="preserve">Mapeamento BS: Ativo Circulante = cód. 1.1; Ativo Não Circulante = cód. 1.2; Passivo Circulante = cód. 2.1; Passivo Não Circulante = não destacado (=0).</w:t>
      </w:r>
    </w:p>
    <w:p>
      <w:pPr>
        <w:pStyle w:val="ListParagraph"/>
        <w:numPr>
          <w:ilvl w:val="0"/>
          <w:numId w:val="2"/>
        </w:numPr>
      </w:pPr>
      <w:r>
        <w:t xml:space="preserve">PL calculado por equação fundamental: PL = Ativo Total − Passivo Total (PT inclui apenas PC neste balancete).</w:t>
      </w:r>
    </w:p>
    <w:p>
      <w:pPr>
        <w:pStyle w:val="ListParagraph"/>
        <w:numPr>
          <w:ilvl w:val="0"/>
          <w:numId w:val="2"/>
        </w:numPr>
      </w:pPr>
      <w:r>
        <w:t xml:space="preserve">Sentinela contábil |AT − (PT+PL)| = 0 para todos os meses (validação OK pela definição residual de PL).</w:t>
      </w:r>
    </w:p>
    <w:p>
      <w:pPr>
        <w:pStyle w:val="ListParagraph"/>
        <w:numPr>
          <w:ilvl w:val="0"/>
          <w:numId w:val="2"/>
        </w:numPr>
      </w:pPr>
      <w:r>
        <w:t xml:space="preserve">Indicadores de rentabilidade/atividade (Margens, ROA, ROE, PMR, PMP, IME, Giro, EBITDA, Kanitz, ISG) NÃO foram calculados — DRE ausente no arquivo-fonte.</w:t>
      </w:r>
    </w:p>
    <w:p>
      <w:pPr>
        <w:pStyle w:val="ListParagraph"/>
        <w:numPr>
          <w:ilvl w:val="0"/>
          <w:numId w:val="2"/>
        </w:numPr>
      </w:pPr>
      <w:r>
        <w:t xml:space="preserve">PARSER_VERSION 2026.06.02.16 — regras Onda 12 + 13 aplicadas.</w:t>
      </w:r>
    </w:p>
    <w:p>
      <w:pPr>
        <w:pStyle w:val="Heading1"/>
        <w:spacing w:after="120" w:before="240"/>
      </w:pPr>
      <w:r>
        <w:rPr>
          <w:b/>
          <w:bCs/>
          <w:color w:val="0F1B3D"/>
        </w:rPr>
        <w:t xml:space="preserve">3. Balanço Patrimonial Consolidado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Ativo Total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ANC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Passivo Total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PC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Set/25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313.582.010,64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127.797.654,72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185.784.355,92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305.714.171,03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229.332.490,74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7.867.839,61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Out/25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325.988.269,62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142.211.947,26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183.776.322,36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319.030.495,48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239.335.479,77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6.957.774,14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Nov/25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324.546.906,58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139.577.868,72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184.969.037,86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317.762.731,68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238.767.634,48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6.784.174,90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Dez/25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321.860.373,38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138.840.496,65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183.019.876,73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314.659.565,72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236.225.275,68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7.200.807,66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Jan/26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329.848.420,57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147.279.852,44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182.568.568,13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327.529.708,30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238.032.445,65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2.318.712,27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Fev/26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319.803.248,35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136.043.445,86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183.759.802,49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321.970.068,24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232.983.757,73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-2.166.819,89</w:t>
            </w:r>
          </w:p>
        </w:tc>
      </w:tr>
      <w:tr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Mar/26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331.984.602,00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140.315.806,53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191.668.795,47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330.943.635,10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242.227.927,02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1.040.966,90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rPr>
          <w:b/>
          <w:bCs/>
        </w:rPr>
        <w:t xml:space="preserve">Observações:</w:t>
      </w:r>
    </w:p>
    <w:p>
      <w:pPr>
        <w:pStyle w:val="ListParagraph"/>
        <w:numPr>
          <w:ilvl w:val="0"/>
          <w:numId w:val="2"/>
        </w:numPr>
      </w:pPr>
      <w:r>
        <w:t xml:space="preserve">PL despencou ~87% entre Set/25 e Mar/26 — consumo acelerado de capital próprio.</w:t>
      </w:r>
    </w:p>
    <w:p>
      <w:pPr>
        <w:pStyle w:val="ListParagraph"/>
        <w:numPr>
          <w:ilvl w:val="0"/>
          <w:numId w:val="2"/>
        </w:numPr>
      </w:pPr>
      <w:r>
        <w:t xml:space="preserve">AC cresceu (+9,8%) puxado por Estoques (1.1.03 saiu de ~R$ 33,7 mi para R$ 53,9 mi), mas Disponível segue marginal (&lt;R$ 0,5 mi).</w:t>
      </w:r>
    </w:p>
    <w:p>
      <w:pPr>
        <w:pStyle w:val="ListParagraph"/>
        <w:numPr>
          <w:ilvl w:val="0"/>
          <w:numId w:val="2"/>
        </w:numPr>
      </w:pPr>
      <w:r>
        <w:t xml:space="preserve">PC cresceu (+5,6%) com FORNECEDORES estável (~R$ 56 mi) e OBRIG. SOCIAIS E TRABALHISTAS em ~R$ 45 mi (INSS R$ 29,6 mi).</w:t>
      </w:r>
    </w:p>
    <w:p>
      <w:pPr>
        <w:pStyle w:val="Heading1"/>
        <w:spacing w:after="120" w:before="240"/>
      </w:pPr>
      <w:r>
        <w:rPr>
          <w:b/>
          <w:bCs/>
          <w:color w:val="0F1B3D"/>
        </w:rPr>
        <w:t xml:space="preserve">4. Indicadores de Liquidez e Endividamento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Mês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Liquidez Corrente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Liquidez Geral (AT/PT)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Endividamento Geral (PT/AT)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1B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Grau Endiv. PL (PT/PL)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Set/25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0,557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1,026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97,49%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38,86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Out/25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0,594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1,022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97,87%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45,85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Nov/25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0,585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1,021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97,91%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46,84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Dez/25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0,588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1,023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97,76%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43,70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Jan/26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0,619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1,007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99,30%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141,26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Fev/26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0,584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0,993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100,68%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-148,59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000000"/>
                <w:sz w:val="18"/>
                <w:szCs w:val="18"/>
              </w:rPr>
              <w:t xml:space="preserve">Mar/26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0,579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1,003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99,69%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000000"/>
                <w:sz w:val="18"/>
                <w:szCs w:val="18"/>
              </w:rPr>
              <w:t xml:space="preserve">317,92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t xml:space="preserve">Liquidez Corrente oscila entre 0.557 e 0.619 — abaixo de 1,0 em todos os meses (AC insuficiente para cobrir PC).</w:t>
      </w:r>
    </w:p>
    <w:p>
      <w:pPr>
        <w:spacing w:after="80"/>
      </w:pPr>
      <w:r>
        <w:t xml:space="preserve">Grau de Endividamento sobre PL ultrapassa 318× em Mar/26 — passivo a descoberto iminente.</w:t>
      </w:r>
    </w:p>
    <w:p>
      <w:pPr>
        <w:pStyle w:val="Heading1"/>
        <w:spacing w:after="120" w:before="240"/>
      </w:pPr>
      <w:r>
        <w:rPr>
          <w:b/>
          <w:bCs/>
          <w:color w:val="0F1B3D"/>
        </w:rPr>
        <w:t xml:space="preserve">5. Pontos de Atenção</w:t>
      </w:r>
    </w:p>
    <w:p>
      <w:pPr>
        <w:pStyle w:val="ListParagraph"/>
        <w:numPr>
          <w:ilvl w:val="0"/>
          <w:numId w:val="2"/>
        </w:numPr>
      </w:pPr>
      <w:r>
        <w:t xml:space="preserve">PNC e Empréstimos/Financiamentos zerados — verificar se há reclassificação no plano de contas ou dívidas omitidas.</w:t>
      </w:r>
    </w:p>
    <w:p>
      <w:pPr>
        <w:pStyle w:val="ListParagraph"/>
        <w:numPr>
          <w:ilvl w:val="0"/>
          <w:numId w:val="2"/>
        </w:numPr>
      </w:pPr>
      <w:r>
        <w:t xml:space="preserve">Passivo Trabalhista/Previdenciário de R$ 45,5 mi em Mar/26 — risco fiscal e trabalhista elevado.</w:t>
      </w:r>
    </w:p>
    <w:p>
      <w:pPr>
        <w:pStyle w:val="ListParagraph"/>
        <w:numPr>
          <w:ilvl w:val="0"/>
          <w:numId w:val="2"/>
        </w:numPr>
      </w:pPr>
      <w:r>
        <w:t xml:space="preserve">Impostos a recuperar caíram de R$ 73,9 mi (Set/25) para R$ 57,3 mi (Mar/26) — possível baixa de créditos ICMS PR SISCRED Diferimento (de R$ 18,4 mi para R$ 0).</w:t>
      </w:r>
    </w:p>
    <w:p>
      <w:pPr>
        <w:pStyle w:val="ListParagraph"/>
        <w:numPr>
          <w:ilvl w:val="0"/>
          <w:numId w:val="2"/>
        </w:numPr>
      </w:pPr>
      <w:r>
        <w:t xml:space="preserve">PL próximo de zero (R$ 1,04 mi em Mar/26) sinaliza necessidade urgente de capitalização ou reestruturação patrimonial.</w:t>
      </w:r>
    </w:p>
    <w:p>
      <w:pPr>
        <w:pStyle w:val="ListParagraph"/>
        <w:numPr>
          <w:ilvl w:val="0"/>
          <w:numId w:val="2"/>
        </w:numPr>
      </w:pPr>
      <w:r>
        <w:t xml:space="preserve">Arquivo DIP não contém DRE — solicitar balancete completo (grupos 3, 4, 5) para reprocessar Kanitz, BEX Solvência, EBITDA e demais indicadores de resultado.</w:t>
      </w:r>
    </w:p>
    <w:p>
      <w:pPr>
        <w:pStyle w:val="Heading1"/>
        <w:spacing w:after="120" w:before="240"/>
      </w:pPr>
      <w:r>
        <w:rPr>
          <w:b/>
          <w:bCs/>
          <w:color w:val="0F1B3D"/>
        </w:rPr>
        <w:t xml:space="preserve">6. Rastreabilidade</w:t>
      </w:r>
    </w:p>
    <w:p>
      <w:pPr>
        <w:pStyle w:val="ListParagraph"/>
        <w:numPr>
          <w:ilvl w:val="0"/>
          <w:numId w:val="2"/>
        </w:numPr>
      </w:pPr>
      <w:r>
        <w:t xml:space="preserve">Fonte: DIP_setembro-25_a_março-26.xlsx (upload 02/06/2026)</w:t>
      </w:r>
    </w:p>
    <w:p>
      <w:pPr>
        <w:pStyle w:val="ListParagraph"/>
        <w:numPr>
          <w:ilvl w:val="0"/>
          <w:numId w:val="2"/>
        </w:numPr>
      </w:pPr>
      <w:r>
        <w:t xml:space="preserve">Engine: bs_dados_builder + indicatorsEngine (Onda 13)</w:t>
      </w:r>
    </w:p>
    <w:p>
      <w:pPr>
        <w:pStyle w:val="ListParagraph"/>
        <w:numPr>
          <w:ilvl w:val="0"/>
          <w:numId w:val="2"/>
        </w:numPr>
      </w:pPr>
      <w:r>
        <w:t xml:space="preserve">Plataforma: Auditor Contábil Sênior IA — BEX Auditoria</w:t>
      </w:r>
    </w:p>
    <w:p>
      <w:pPr>
        <w:pStyle w:val="ListParagraph"/>
        <w:numPr>
          <w:ilvl w:val="0"/>
          <w:numId w:val="2"/>
        </w:numPr>
      </w:pPr>
      <w:r>
        <w:t xml:space="preserve">Modelo IA suporte: google/gemini-3.1-pro-preview (raciocínio) + GPT-5 (validação cruzada)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BEX Auditoria | Relatório de Indicadores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F1B3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Indicadores × Auditoria — v5</dc:title>
  <dc:creator>BEX Auditoria - Auditor Contábil Sênior IA</dc:creator>
  <cp:lastModifiedBy>Un-named</cp:lastModifiedBy>
  <cp:revision>1</cp:revision>
  <dcterms:created xsi:type="dcterms:W3CDTF">2026-06-02T16:36:56.907Z</dcterms:created>
  <dcterms:modified xsi:type="dcterms:W3CDTF">2026-06-02T16:36:56.908Z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