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Figure Legends</w:t>
      </w:r>
    </w:p>
    <w:p>
      <w:r>
        <w:t>Figure 1 | Study design, cohort roles, and analysis gates. Public human carotid plaque cohorts were assigned to discovery bulk analysis (GSE111782), independent bulk validation (GSE311535), and single-cell localization (GSE260657). Symptomatic and asymptomatic labels are retained as reported in the source metadata.</w:t>
      </w:r>
    </w:p>
    <w:p>
      <w:r>
        <w:t>Figure 2 | Discovery bulk quality control, differential expression, and enrichment. GSE111782 was analyzed with limma using symptomatic versus asymptomatic plaques as the contrast. Positive log2FC denotes higher expression in symptomatic plaques. No genes reached FDR &lt; 0.05; ranked predefined signatures and GO outputs are shown as generated from source tables.</w:t>
      </w:r>
    </w:p>
    <w:p>
      <w:r>
        <w:t>Figure 3 | Predefined efferocytosis and VSMC signature scores and tissue-level correlations. Sample-level scores summarize available mapped genes for each predefined program. Group comparisons use two-sided Wilcoxon tests with Benjamini-Hochberg correction; correlations use Spearman rho and are tissue-level associations only.</w:t>
      </w:r>
    </w:p>
    <w:p>
      <w:r>
        <w:t>Figure 4 | Single-cell atlas and major-cell annotation for GSE260657. Smart-seq2 cell files were parsed from public raw data. Major cell classes were assigned by marker-score and clustering support; uncertain cells were retained as unassigned. Cells are displayed for localization and are not independent patients.</w:t>
      </w:r>
    </w:p>
    <w:p>
      <w:r>
        <w:t>Figure 5 | Macrophage subclusters and efferocytosis program scoring. Macrophage cells were analyzed descriptively to localize efferocytosis-related expression. Donor/sample-level summaries, rather than cell counts, define the inferential unit for group comparisons.</w:t>
      </w:r>
    </w:p>
    <w:p>
      <w:r>
        <w:t>Figure 6 | VSMC subclusters and contractile/non-contractile program scoring. VSMC cells were analyzed descriptively using predefined VSMC state programs. These outputs indicate candidate cell-state localization and do not prove lineage transition or causality.</w:t>
      </w:r>
    </w:p>
    <w:p>
      <w:r>
        <w:t>Figure 7 | Independent bulk validation in GSE311535. Validation results are reported separately from discovery because the cohort is diabetes-specific and uses RNA-seq counts. The reproducible finding is the efferocytosis-inflammatory VSMC tissue-level association; gene-level and group-level signature findings are not validated at FDR &lt; 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