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xn38e0by7l81" w:colLast="0"/>
      <w:bookmarkEnd w:id="0"/>
      <w:r w:rsidRPr="00000000" w:rsidR="00000000" w:rsidDel="00000000">
        <w:rPr>
          <w:rFonts w:cs="Roboto" w:hAnsi="Roboto" w:eastAsia="Roboto" w:ascii="Roboto"/>
          <w:sz w:val="48"/>
          <w:rtl w:val="0"/>
        </w:rPr>
        <w:t xml:space="preserve">Homework 3 - CSS422</w:t>
      </w:r>
    </w:p>
    <w:p w:rsidP="00000000" w:rsidRPr="00000000" w:rsidR="00000000" w:rsidDel="00000000" w:rsidRDefault="00000000">
      <w:pPr>
        <w:pStyle w:val="Subtitle"/>
        <w:contextualSpacing w:val="0"/>
      </w:pPr>
      <w:bookmarkStart w:id="1" w:colFirst="0" w:name="h.mcyfihtjl8s4" w:colLast="0"/>
      <w:bookmarkEnd w:id="1"/>
      <w:r w:rsidRPr="00000000" w:rsidR="00000000" w:rsidDel="00000000">
        <w:rPr>
          <w:rtl w:val="0"/>
        </w:rPr>
        <w:t xml:space="preserve">Vu Dinh - 1440064</w:t>
      </w:r>
    </w:p>
    <w:p w:rsidP="00000000" w:rsidRPr="00000000" w:rsidR="00000000" w:rsidDel="00000000" w:rsidRDefault="00000000">
      <w:pPr>
        <w:pStyle w:val="Heading1"/>
        <w:contextualSpacing w:val="0"/>
      </w:pPr>
      <w:bookmarkStart w:id="2" w:colFirst="0" w:name="h.eh8ys97ggv10" w:colLast="0"/>
      <w:bookmarkEnd w:id="2"/>
      <w:r w:rsidRPr="00000000" w:rsidR="00000000" w:rsidDel="00000000">
        <w:rPr>
          <w:rtl w:val="0"/>
        </w:rPr>
        <w:t xml:space="preserve">Question 1.</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Each device has 11 address lines, therefore </w:t>
      </w:r>
      <m:oMath>
        <m:sSup>
          <m:sSupPr>
            <m:ctrlPr>
              <w:rPr/>
            </m:ctrlPr>
          </m:sSupPr>
          <m:e>
            <m:r>
              <w:rPr/>
              <m:t xml:space="preserve">2</m:t>
            </m:r>
          </m:e>
          <m:sup>
            <m:r>
              <w:rPr/>
              <m:t xml:space="preserve">11</m:t>
            </m:r>
          </m:sup>
        </m:sSup>
      </m:oMath>
      <w:r w:rsidRPr="00000000" w:rsidR="00000000" w:rsidDel="00000000">
        <w:rPr>
          <w:rtl w:val="0"/>
        </w:rPr>
        <w:t xml:space="preserve"> addressable memory locations, each of which can hold 16 bits of data. The capacity of each device is thus: </w:t>
      </w:r>
      <m:oMath>
        <m:sSup>
          <m:sSupPr>
            <m:ctrlPr>
              <w:rPr/>
            </m:ctrlPr>
          </m:sSupPr>
          <m:e>
            <m:r>
              <w:rPr/>
              <m:t xml:space="preserve">2</m:t>
            </m:r>
          </m:e>
          <m:sup>
            <m:r>
              <w:rPr/>
              <m:t xml:space="preserve">11</m:t>
            </m:r>
          </m:sup>
        </m:sSup>
        <m:r>
          <w:rPr/>
          <m:t>×</m:t>
        </m:r>
        <m:sSup>
          <m:sSupPr>
            <m:ctrlPr>
              <w:rPr/>
            </m:ctrlPr>
          </m:sSupPr>
          <m:e>
            <m:r>
              <w:rPr/>
              <m:t xml:space="preserve">2</m:t>
            </m:r>
          </m:e>
          <m:sup>
            <m:r>
              <w:rPr/>
              <m:t xml:space="preserve">4</m:t>
            </m:r>
          </m:sup>
        </m:sSup>
        <m:r>
          <w:rPr/>
          <m:t xml:space="preserve">=</m:t>
        </m:r>
        <m:sSup>
          <m:sSupPr>
            <m:ctrlPr>
              <w:rPr/>
            </m:ctrlPr>
          </m:sSupPr>
          <m:e>
            <m:r>
              <w:rPr/>
              <m:t xml:space="preserve">2</m:t>
            </m:r>
          </m:e>
          <m:sup>
            <m:r>
              <w:rPr/>
              <m:t xml:space="preserve">15</m:t>
            </m:r>
          </m:sup>
        </m:sSup>
      </m:oMath>
      <w:r w:rsidRPr="00000000" w:rsidR="00000000" w:rsidDel="00000000">
        <w:rPr>
          <w:rtl w:val="0"/>
        </w:rPr>
        <w:t xml:space="preserve">(bits)</w:t>
        <w:br w:type="textWrapp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Since 32-bit data bus is required, these devices have to be arranged into 2 chips horizontally; this necessitates 1 chip selection bit. There are 11 offset bits to interface the system with each device, leaving </w:t>
      </w:r>
      <m:oMath>
        <m:r>
          <w:rPr/>
          <m:t xml:space="preserve">18-1-11=6</m:t>
        </m:r>
      </m:oMath>
      <w:r w:rsidRPr="00000000" w:rsidR="00000000" w:rsidDel="00000000">
        <w:rPr>
          <w:rtl w:val="0"/>
        </w:rPr>
        <w:t xml:space="preserve"> address lines for page-selection.</w:t>
        <w:br w:type="textWrapping"/>
      </w:r>
    </w:p>
    <w:tbl>
      <w:tblPr>
        <w:tblStyle w:val="Table1"/>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75"/>
        <w:gridCol w:w="4995"/>
        <w:gridCol w:w="870"/>
        <w:tblGridChange w:id="0">
          <w:tblGrid>
            <w:gridCol w:w="2775"/>
            <w:gridCol w:w="4995"/>
            <w:gridCol w:w="870"/>
          </w:tblGrid>
        </w:tblGridChange>
      </w:tblGrid>
      <w:tr>
        <w:tc>
          <w:tcPr>
            <w:shd w:fill="cfe2f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shd w:fill="cfe2f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11</w:t>
            </w:r>
          </w:p>
        </w:tc>
        <w:tc>
          <w:tcPr>
            <w:shd w:fill="cfe2f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Since the memory system has word-addressable capability, it does not fully support the capacity stated in its specifications, i.e. </w:t>
      </w:r>
      <m:oMath>
        <m:sSup>
          <m:sSupPr>
            <m:ctrlPr>
              <w:rPr/>
            </m:ctrlPr>
          </m:sSupPr>
          <m:e>
            <m:r>
              <w:rPr/>
              <m:t xml:space="preserve">2</m:t>
            </m:r>
          </m:e>
          <m:sup>
            <m:r>
              <w:rPr/>
              <m:t xml:space="preserve">18</m:t>
            </m:r>
          </m:sup>
        </m:sSup>
        <m:r>
          <w:rPr/>
          <m:t>×</m:t>
        </m:r>
        <m:sSup>
          <m:sSupPr>
            <m:ctrlPr>
              <w:rPr/>
            </m:ctrlPr>
          </m:sSupPr>
          <m:e>
            <m:r>
              <w:rPr/>
              <m:t xml:space="preserve">2</m:t>
            </m:r>
          </m:e>
          <m:sup>
            <m:r>
              <w:rPr/>
              <m:t xml:space="preserve">5</m:t>
            </m:r>
          </m:sup>
        </m:sSup>
        <m:r>
          <w:rPr/>
          <m:t xml:space="preserve">=</m:t>
        </m:r>
        <m:sSup>
          <m:sSupPr>
            <m:ctrlPr>
              <w:rPr/>
            </m:ctrlPr>
          </m:sSupPr>
          <m:e>
            <m:r>
              <w:rPr/>
              <m:t xml:space="preserve">2</m:t>
            </m:r>
          </m:e>
          <m:sup>
            <m:r>
              <w:rPr/>
              <m:t xml:space="preserve">23</m:t>
            </m:r>
          </m:sup>
        </m:sSup>
      </m:oMath>
      <w:r w:rsidRPr="00000000" w:rsidR="00000000" w:rsidDel="00000000">
        <w:rPr>
          <w:rtl w:val="0"/>
        </w:rPr>
        <w:t xml:space="preserve">. Instead, it can only support </w:t>
      </w:r>
      <m:oMath>
        <m:sSup>
          <m:sSupPr>
            <m:ctrlPr>
              <w:rPr/>
            </m:ctrlPr>
          </m:sSupPr>
          <m:e>
            <m:r>
              <w:rPr/>
              <m:t xml:space="preserve">2</m:t>
            </m:r>
          </m:e>
          <m:sup>
            <m:r>
              <w:rPr/>
              <m:t xml:space="preserve">18</m:t>
            </m:r>
          </m:sup>
        </m:sSup>
      </m:oMath>
      <w:r w:rsidRPr="00000000" w:rsidR="00000000" w:rsidDel="00000000">
        <w:rPr>
          <w:rtl w:val="0"/>
        </w:rPr>
        <w:t xml:space="preserve"> unique addressable spaces if each space only holds 16-bits of data; when 32-bits of data need to be stored, the system made with these devices can only support </w:t>
      </w:r>
      <m:oMath>
        <m:sSup>
          <m:sSupPr>
            <m:ctrlPr>
              <w:rPr/>
            </m:ctrlPr>
          </m:sSupPr>
          <m:e>
            <m:r>
              <w:rPr/>
              <m:t xml:space="preserve">2</m:t>
            </m:r>
          </m:e>
          <m:sup>
            <m:r>
              <w:rPr/>
              <m:t xml:space="preserve">17</m:t>
            </m:r>
          </m:sup>
        </m:sSup>
      </m:oMath>
      <w:r w:rsidRPr="00000000" w:rsidR="00000000" w:rsidDel="00000000">
        <w:rPr>
          <w:rtl w:val="0"/>
        </w:rPr>
        <w:t xml:space="preserve">unique spaces. See </w:t>
      </w:r>
      <w:hyperlink r:id="rId5">
        <w:r w:rsidRPr="00000000" w:rsidR="00000000" w:rsidDel="00000000">
          <w:rPr>
            <w:color w:val="1155cc"/>
            <w:u w:val="single"/>
            <w:rtl w:val="0"/>
          </w:rPr>
          <w:t xml:space="preserve">this discussion</w:t>
        </w:r>
      </w:hyperlink>
      <w:r w:rsidRPr="00000000" w:rsidR="00000000" w:rsidDel="00000000">
        <w:rPr>
          <w:rtl w:val="0"/>
        </w:rPr>
        <w:t xml:space="preserve"> for details.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Each page has </w:t>
      </w:r>
      <m:oMath>
        <m:sSup>
          <m:sSupPr>
            <m:ctrlPr>
              <w:rPr/>
            </m:ctrlPr>
          </m:sSupPr>
          <m:e>
            <m:r>
              <w:rPr/>
              <m:t xml:space="preserve">2</m:t>
            </m:r>
          </m:e>
          <m:sup>
            <m:r>
              <w:rPr/>
              <m:t xml:space="preserve">11</m:t>
            </m:r>
          </m:sup>
        </m:sSup>
      </m:oMath>
      <w:r w:rsidRPr="00000000" w:rsidR="00000000" w:rsidDel="00000000">
        <w:rPr>
          <w:rtl w:val="0"/>
        </w:rPr>
        <w:t xml:space="preserve"> unique addresses in each device, so a total of </w:t>
      </w:r>
      <m:oMath>
        <m:sSup>
          <m:sSupPr>
            <m:ctrlPr>
              <w:rPr/>
            </m:ctrlPr>
          </m:sSupPr>
          <m:e>
            <m:r>
              <w:rPr/>
              <m:t xml:space="preserve">2</m:t>
            </m:r>
          </m:e>
          <m:sup>
            <m:r>
              <w:rPr/>
              <m:t xml:space="preserve">12</m:t>
            </m:r>
          </m:sup>
        </m:sSup>
      </m:oMath>
      <w:r w:rsidRPr="00000000" w:rsidR="00000000" w:rsidDel="00000000">
        <w:rPr>
          <w:rtl w:val="0"/>
        </w:rPr>
        <w:t xml:space="preserve"> unique addresses per page. Page 0 thus occupies addresses from </w:t>
      </w:r>
      <w:r w:rsidRPr="00000000" w:rsidR="00000000" w:rsidDel="00000000">
        <w:rPr>
          <w:shd w:val="clear" w:fill="cfe2f3"/>
          <w:rtl w:val="0"/>
        </w:rPr>
        <w:t xml:space="preserve">000000</w:t>
      </w:r>
      <w:r w:rsidRPr="00000000" w:rsidR="00000000" w:rsidDel="00000000">
        <w:rPr>
          <w:rtl w:val="0"/>
        </w:rPr>
        <w:t xml:space="preserve">000000000000 to </w:t>
      </w:r>
      <w:r w:rsidRPr="00000000" w:rsidR="00000000" w:rsidDel="00000000">
        <w:rPr>
          <w:shd w:val="clear" w:fill="cfe2f3"/>
          <w:rtl w:val="0"/>
        </w:rPr>
        <w:t xml:space="preserve">000000</w:t>
      </w:r>
      <w:r w:rsidRPr="00000000" w:rsidR="00000000" w:rsidDel="00000000">
        <w:rPr>
          <w:rtl w:val="0"/>
        </w:rPr>
        <w:t xml:space="preserve">111111111111 or from $00000 to $00FFF</w:t>
      </w:r>
    </w:p>
    <w:tbl>
      <w:tblPr>
        <w:tblStyle w:val="Table2"/>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90"/>
        <w:gridCol w:w="3225"/>
        <w:gridCol w:w="3225"/>
        <w:tblGridChange w:id="0">
          <w:tblGrid>
            <w:gridCol w:w="2190"/>
            <w:gridCol w:w="3225"/>
            <w:gridCol w:w="322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Page (decimal)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Starting Address (hex)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Ending Address (hex)</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$01000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$01FFF</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$32000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$32FFF</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unavailable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unavailable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HOWEVER,</w:t>
      </w:r>
      <w:r w:rsidRPr="00000000" w:rsidR="00000000" w:rsidDel="00000000">
        <w:rPr>
          <w:rtl w:val="0"/>
        </w:rPr>
        <w:t xml:space="preserve"> the instruction clearly says to “assume that each page of memory is the same size as the address range of one memory device”, which doesn’t make sense. Under that assumption, though, there are </w:t>
      </w:r>
      <m:oMath>
        <m:sSup>
          <m:sSupPr>
            <m:ctrlPr>
              <w:rPr/>
            </m:ctrlPr>
          </m:sSupPr>
          <m:e>
            <m:r>
              <w:rPr/>
              <m:t xml:space="preserve">2</m:t>
            </m:r>
          </m:e>
          <m:sup>
            <m:r>
              <w:rPr/>
              <m:t xml:space="preserve">11</m:t>
            </m:r>
          </m:sup>
        </m:sSup>
      </m:oMath>
      <w:r w:rsidRPr="00000000" w:rsidR="00000000" w:rsidDel="00000000">
        <w:rPr>
          <w:rtl w:val="0"/>
        </w:rPr>
        <w:t xml:space="preserve"> unique addresses per page, so page 0 occupies from </w:t>
      </w:r>
      <w:r w:rsidRPr="00000000" w:rsidR="00000000" w:rsidDel="00000000">
        <w:rPr>
          <w:shd w:val="clear" w:fill="c9daf8"/>
          <w:rtl w:val="0"/>
        </w:rPr>
        <w:t xml:space="preserve">0000000</w:t>
      </w:r>
      <w:r w:rsidRPr="00000000" w:rsidR="00000000" w:rsidDel="00000000">
        <w:rPr>
          <w:rtl w:val="0"/>
        </w:rPr>
        <w:t xml:space="preserve">00000000000 to </w:t>
      </w:r>
      <w:r w:rsidRPr="00000000" w:rsidR="00000000" w:rsidDel="00000000">
        <w:rPr>
          <w:shd w:val="clear" w:fill="c9daf8"/>
          <w:rtl w:val="0"/>
        </w:rPr>
        <w:t xml:space="preserve">0000000</w:t>
      </w:r>
      <w:r w:rsidRPr="00000000" w:rsidR="00000000" w:rsidDel="00000000">
        <w:rPr>
          <w:rtl w:val="0"/>
        </w:rPr>
        <w:t xml:space="preserve">11111111111 or from $00000 to $007FF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90"/>
        <w:gridCol w:w="3225"/>
        <w:gridCol w:w="3225"/>
        <w:tblGridChange w:id="0">
          <w:tblGrid>
            <w:gridCol w:w="2190"/>
            <w:gridCol w:w="3225"/>
            <w:gridCol w:w="322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Page (decimal)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Starting Address (hex)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Ending Address (hex)</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$00800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$00FFF</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$19000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$197FF</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$32000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$327FF</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Each device used in the system can only support word-level memory addressing since its data bus is 16-bit wide. If:</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devices being used in the system had an 8-bit data bus, or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16-bit data devices themselves were composed of 8-bit data bus devices</w:t>
      </w:r>
    </w:p>
    <w:p w:rsidP="00000000" w:rsidRPr="00000000" w:rsidR="00000000" w:rsidDel="00000000" w:rsidRDefault="00000000">
      <w:pPr>
        <w:ind w:left="720" w:firstLine="0"/>
        <w:contextualSpacing w:val="0"/>
      </w:pPr>
      <w:r w:rsidRPr="00000000" w:rsidR="00000000" w:rsidDel="00000000">
        <w:rPr>
          <w:rtl w:val="0"/>
        </w:rPr>
        <w:t xml:space="preserve">then it may be possible for the memory system to have byte-addressable memory locations.</w:t>
      </w:r>
    </w:p>
    <w:p w:rsidP="00000000" w:rsidRPr="00000000" w:rsidR="00000000" w:rsidDel="00000000" w:rsidRDefault="00000000">
      <w:pPr>
        <w:ind w:left="720" w:firstLine="0"/>
        <w:contextualSpacing w:val="0"/>
      </w:pPr>
      <w:r w:rsidRPr="00000000" w:rsidR="00000000" w:rsidDel="00000000">
        <w:rPr>
          <w:rtl w:val="0"/>
        </w:rPr>
        <w:t xml:space="preserve">Neither of these conditions was specified; it is unwise to assume that they are true. The system is, thus, assumed to </w:t>
      </w:r>
      <w:r w:rsidRPr="00000000" w:rsidR="00000000" w:rsidDel="00000000">
        <w:rPr>
          <w:b w:val="1"/>
          <w:rtl w:val="0"/>
        </w:rPr>
        <w:t xml:space="preserve">not </w:t>
      </w:r>
      <w:r w:rsidRPr="00000000" w:rsidR="00000000" w:rsidDel="00000000">
        <w:rPr>
          <w:rtl w:val="0"/>
        </w:rPr>
        <w:t xml:space="preserve">have addressing memory locations at the byte-level.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6iq3m06ofa7i" w:colLast="0"/>
      <w:bookmarkEnd w:id="3"/>
      <w:r w:rsidRPr="00000000" w:rsidR="00000000" w:rsidDel="00000000">
        <w:rPr>
          <w:rtl w:val="0"/>
        </w:rPr>
        <w:t xml:space="preserve">Question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To compose a 32-bit data bus with devices using 8-bit data bus, we need 4 devices arranged horizontally per page, so we need 2 chip selection bits. The address partitioning is thus as follows:</w:t>
        <w:br w:type="textWrapping"/>
        <w:br w:type="textWrapping"/>
      </w:r>
    </w:p>
    <w:tbl>
      <w:tblPr>
        <w:tblStyle w:val="Table4"/>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15"/>
        <w:gridCol w:w="4920"/>
        <w:gridCol w:w="705"/>
        <w:tblGridChange w:id="0">
          <w:tblGrid>
            <w:gridCol w:w="3015"/>
            <w:gridCol w:w="4920"/>
            <w:gridCol w:w="705"/>
          </w:tblGrid>
        </w:tblGridChange>
      </w:tblGrid>
      <w:tr>
        <w:tc>
          <w:tcPr>
            <w:shd w:fill="cfe2f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shd w:fill="cfe2f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17</w:t>
            </w:r>
          </w:p>
        </w:tc>
        <w:tc>
          <w:tcPr>
            <w:shd w:fill="cfe2f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According to the partitioning table, we need </w:t>
      </w:r>
      <m:oMath>
        <m:sSup>
          <m:sSupPr>
            <m:ctrlPr>
              <w:rPr/>
            </m:ctrlPr>
          </m:sSupPr>
          <m:e>
            <m:r>
              <w:rPr/>
              <m:t xml:space="preserve">2</m:t>
            </m:r>
          </m:e>
          <m:sup>
            <m:r>
              <w:rPr/>
              <m:t xml:space="preserve">10</m:t>
            </m:r>
          </m:sup>
        </m:sSup>
        <m:r>
          <w:rPr/>
          <m:t xml:space="preserve">=1024</m:t>
        </m:r>
      </m:oMath>
      <w:r w:rsidRPr="00000000" w:rsidR="00000000" w:rsidDel="00000000">
        <w:rPr>
          <w:rtl w:val="0"/>
        </w:rPr>
        <w:t xml:space="preserve"> pages of devices, each with 4 devices, so a total of </w:t>
      </w:r>
      <m:oMath>
        <m:sSup>
          <m:sSupPr>
            <m:ctrlPr>
              <w:rPr/>
            </m:ctrlPr>
          </m:sSupPr>
          <m:e>
            <m:r>
              <w:rPr/>
              <m:t xml:space="preserve">2</m:t>
            </m:r>
          </m:e>
          <m:sup>
            <m:r>
              <w:rPr/>
              <m:t xml:space="preserve">12</m:t>
            </m:r>
          </m:sup>
        </m:sSup>
        <m:r>
          <w:rPr/>
          <m:t xml:space="preserve">=4096</m:t>
        </m:r>
      </m:oMath>
      <w:r w:rsidRPr="00000000" w:rsidR="00000000" w:rsidDel="00000000">
        <w:rPr>
          <w:rtl w:val="0"/>
        </w:rPr>
        <w:t xml:space="preserve"> devices.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Each page has 4 devices, each with </w:t>
      </w:r>
      <m:oMath>
        <m:sSup>
          <m:sSupPr>
            <m:ctrlPr>
              <w:rPr/>
            </m:ctrlPr>
          </m:sSupPr>
          <m:e>
            <m:r>
              <w:rPr/>
              <m:t xml:space="preserve">2</m:t>
            </m:r>
          </m:e>
          <m:sup>
            <m:r>
              <w:rPr/>
              <m:t xml:space="preserve">17</m:t>
            </m:r>
          </m:sup>
        </m:sSup>
      </m:oMath>
      <w:r w:rsidRPr="00000000" w:rsidR="00000000" w:rsidDel="00000000">
        <w:rPr>
          <w:rtl w:val="0"/>
        </w:rPr>
        <w:t xml:space="preserve"> address spaces, so a total of </w:t>
      </w:r>
      <m:oMath>
        <m:sSup>
          <m:sSupPr>
            <m:ctrlPr>
              <w:rPr/>
            </m:ctrlPr>
          </m:sSupPr>
          <m:e>
            <m:r>
              <w:rPr/>
              <m:t xml:space="preserve">2</m:t>
            </m:r>
          </m:e>
          <m:sup>
            <m:r>
              <w:rPr/>
              <m:t xml:space="preserve">17</m:t>
            </m:r>
          </m:sup>
        </m:sSup>
        <m:r>
          <w:rPr/>
          <m:t>×</m:t>
        </m:r>
        <m:sSup>
          <m:sSupPr>
            <m:ctrlPr>
              <w:rPr/>
            </m:ctrlPr>
          </m:sSupPr>
          <m:e>
            <m:r>
              <w:rPr/>
              <m:t xml:space="preserve">2</m:t>
            </m:r>
          </m:e>
          <m:sup>
            <m:r>
              <w:rPr/>
              <m:t xml:space="preserve">2</m:t>
            </m:r>
          </m:sup>
        </m:sSup>
        <m:r>
          <w:rPr/>
          <m:t xml:space="preserve">=</m:t>
        </m:r>
        <m:sSup>
          <m:sSupPr>
            <m:ctrlPr>
              <w:rPr/>
            </m:ctrlPr>
          </m:sSupPr>
          <m:e>
            <m:r>
              <w:rPr/>
              <m:t xml:space="preserve">2</m:t>
            </m:r>
          </m:e>
          <m:sup>
            <m:r>
              <w:rPr/>
              <m:t xml:space="preserve">19</m:t>
            </m:r>
          </m:sup>
        </m:sSup>
      </m:oMath>
      <w:r w:rsidRPr="00000000" w:rsidR="00000000" w:rsidDel="00000000">
        <w:rPr>
          <w:rtl w:val="0"/>
        </w:rPr>
        <w:t xml:space="preserve"> unique address spaces per page. That is, page 0 occupies from 00000000000000000000000000000 to 00000000001111111111111111111, or in hexadecimal: from $00000000 to $0007FFFF</w:t>
        <w:br w:type="textWrapping"/>
      </w:r>
    </w:p>
    <w:tbl>
      <w:tblPr>
        <w:tblStyle w:val="Table5"/>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90"/>
        <w:gridCol w:w="3225"/>
        <w:gridCol w:w="3225"/>
        <w:tblGridChange w:id="0">
          <w:tblGrid>
            <w:gridCol w:w="2190"/>
            <w:gridCol w:w="3225"/>
            <w:gridCol w:w="322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Page (decimal)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Starting Address (hex)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Ending Address (hex)</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$00780000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$007FFFFF</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387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$0C180000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$0C1FFFFF</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1020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$1FE00000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$1FE7FFFF</w:t>
            </w:r>
          </w:p>
        </w:tc>
      </w:tr>
    </w:tbl>
    <w:p w:rsidP="00000000" w:rsidRPr="00000000" w:rsidR="00000000" w:rsidDel="00000000" w:rsidRDefault="00000000">
      <w:pPr>
        <w:pStyle w:val="Heading1"/>
        <w:contextualSpacing w:val="0"/>
      </w:pPr>
      <w:bookmarkStart w:id="4" w:colFirst="0" w:name="h.jse11ryr0d72" w:colLast="0"/>
      <w:bookmarkEnd w:id="4"/>
      <w:r w:rsidRPr="00000000" w:rsidR="00000000" w:rsidDel="00000000">
        <w:rPr>
          <w:rtl w:val="0"/>
        </w:rPr>
        <w:t xml:space="preserve">Question 3.</w:t>
      </w:r>
    </w:p>
    <w:p w:rsidP="00000000" w:rsidRPr="00000000" w:rsidR="00000000" w:rsidDel="00000000" w:rsidRDefault="00000000">
      <w:pPr>
        <w:contextualSpacing w:val="0"/>
      </w:pPr>
      <w:r w:rsidRPr="00000000" w:rsidR="00000000" w:rsidDel="00000000">
        <w:rPr>
          <w:rtl w:val="0"/>
        </w:rPr>
        <w:t xml:space="preserve">Logical equations for read/write operations: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long-word read = CE * OE * ~WE0 * ~WE1 * ~WE2 * ~WE3</w:t>
        <w:br w:type="textWrapping"/>
      </w:r>
    </w:p>
    <w:tbl>
      <w:tblPr>
        <w:tblStyle w:val="Table6"/>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~CE</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~OE</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~WE0</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~WE1</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~WE2</w:t>
            </w:r>
          </w:p>
        </w:tc>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~WE3</w:t>
            </w:r>
          </w:p>
        </w:tc>
      </w:tr>
      <w:tr>
        <w:tc>
          <w:tcPr>
            <w:shd w:fill="b6d7a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active</w:t>
            </w:r>
          </w:p>
        </w:tc>
        <w:tc>
          <w:tcPr>
            <w:shd w:fill="b6d7a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active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inactive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byte-write to address 01 in big endian: CE * ~OE * ~WE0 * WE1 * ~WE2 * ~WE3</w:t>
        <w:br w:type="textWrapping"/>
      </w:r>
    </w:p>
    <w:tbl>
      <w:tblPr>
        <w:tblStyle w:val="Table7"/>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~WE0</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~WE1</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~WE2</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~WE3</w:t>
            </w:r>
          </w:p>
        </w:tc>
      </w:tr>
      <w:tr>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word-write to address 00 in little endian: CE * ~OE * ~WE0 * ~WE1 * WE2 * WE3</w:t>
        <w:br w:type="textWrapping"/>
      </w:r>
    </w:p>
    <w:tbl>
      <w:tblPr>
        <w:tblStyle w:val="Table8"/>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~WE0</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~WE1</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~WE2</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~WE3</w:t>
            </w:r>
          </w:p>
        </w:tc>
      </w:tr>
      <w:tr>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active</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active</w:t>
            </w:r>
          </w:p>
        </w:tc>
      </w:tr>
    </w:tbl>
    <w:p w:rsidP="00000000" w:rsidRPr="00000000" w:rsidR="00000000" w:rsidDel="00000000" w:rsidRDefault="00000000">
      <w:pPr>
        <w:contextualSpacing w:val="0"/>
        <w:rPr>
          <w:rFonts w:cs="Arial" w:hAnsi="Arial" w:eastAsia="Arial" w:ascii="Arial"/>
        </w:rPr>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word-read from address 10: CE * OE * ~WE0 * ~WE1 * ~WE2 * ~WE3</w:t>
        <w:br w:type="textWrapping"/>
      </w:r>
    </w:p>
    <w:tbl>
      <w:tblPr>
        <w:tblStyle w:val="Table9"/>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~OE</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~WE0</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~WE1</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~WE2</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~WE3</w:t>
            </w:r>
          </w:p>
        </w:tc>
      </w:tr>
      <w:tr>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active</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inactive</w:t>
            </w:r>
          </w:p>
        </w:tc>
      </w:tr>
    </w:tbl>
    <w:p w:rsidP="00000000" w:rsidRPr="00000000" w:rsidR="00000000" w:rsidDel="00000000" w:rsidRDefault="00000000">
      <w:pPr>
        <w:contextualSpacing w:val="0"/>
        <w:rPr>
          <w:rFonts w:cs="Arial" w:hAnsi="Arial" w:eastAsia="Arial" w:ascii="Arial"/>
        </w:rPr>
      </w:pPr>
      <w:r w:rsidRPr="00000000" w:rsidR="00000000" w:rsidDel="00000000">
        <w:rPr>
          <w:rtl w:val="0"/>
        </w:rPr>
      </w:r>
    </w:p>
    <w:p w:rsidP="00000000" w:rsidRPr="00000000" w:rsidR="00000000" w:rsidDel="00000000" w:rsidRDefault="00000000">
      <w:pPr>
        <w:pStyle w:val="Heading1"/>
        <w:contextualSpacing w:val="0"/>
        <w:rPr>
          <w:rFonts w:cs="Arial" w:hAnsi="Arial" w:eastAsia="Arial" w:ascii="Arial"/>
        </w:rPr>
      </w:pPr>
      <w:bookmarkStart w:id="5" w:colFirst="0" w:name="h.8b6tdc9oczb8" w:colLast="0"/>
      <w:bookmarkEnd w:id="5"/>
      <w:r w:rsidRPr="00000000" w:rsidR="00000000" w:rsidDel="00000000">
        <w:rPr>
          <w:rtl w:val="0"/>
        </w:rPr>
        <w:t xml:space="preserve">Question 4.</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Write data [101] to address 3</w:t>
        <w:br w:type="textWrapping"/>
      </w:r>
    </w:p>
    <w:tbl>
      <w:tblPr>
        <w:tblStyle w:val="Table10"/>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RESET</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S1</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S0</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Bit2</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Bit1</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Bit0</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LOW</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HIGH</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HIGH</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LOW</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HIGH</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HIGH</w:t>
            </w:r>
          </w:p>
        </w:tc>
      </w:tr>
    </w:tbl>
    <w:p w:rsidP="00000000" w:rsidRPr="00000000" w:rsidR="00000000" w:rsidDel="00000000" w:rsidRDefault="00000000">
      <w:pPr>
        <w:contextualSpacing w:val="0"/>
        <w:rPr>
          <w:rFonts w:cs="Arial" w:hAnsi="Arial" w:eastAsia="Arial" w:ascii="Arial"/>
        </w:rPr>
      </w:pPr>
      <w:r w:rsidRPr="00000000" w:rsidR="00000000" w:rsidDel="00000000">
        <w:rPr>
          <w:rtl w:val="0"/>
        </w:rPr>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Read data from address 1</w:t>
        <w:br w:type="textWrapping"/>
      </w:r>
    </w:p>
    <w:tbl>
      <w:tblPr>
        <w:tblStyle w:val="Table11"/>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RESET</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S1</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S0</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Bit2</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Bit1</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Bit0</w:t>
            </w:r>
          </w:p>
        </w:tc>
        <w:tc>
          <w:tcPr>
            <w:shd w:fill="d9d9d9"/>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LOW</w:t>
            </w:r>
          </w:p>
        </w:tc>
        <w:tc>
          <w:tcPr>
            <w:shd w:fill="b6d7a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HIGH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LOW</w:t>
            </w:r>
          </w:p>
        </w:tc>
      </w:tr>
    </w:tbl>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Circuit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374900" cx="5943600"/>
            <wp:effectExtent t="0" b="0" r="0" l="0"/>
            <wp:docPr id="1" name="image01.png" descr="4x3 with RAM module.png"/>
            <a:graphic>
              <a:graphicData uri="http://schemas.openxmlformats.org/drawingml/2006/picture">
                <pic:pic>
                  <pic:nvPicPr>
                    <pic:cNvPr id="0" name="image01.png" descr="4x3 with RAM module.png"/>
                    <pic:cNvPicPr preferRelativeResize="0"/>
                  </pic:nvPicPr>
                  <pic:blipFill>
                    <a:blip r:embed="rId6"/>
                    <a:srcRect t="0" b="0" r="0" l="0"/>
                    <a:stretch>
                      <a:fillRect/>
                    </a:stretch>
                  </pic:blipFill>
                  <pic:spPr>
                    <a:xfrm>
                      <a:off y="0" x="0"/>
                      <a:ext cy="2374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gzccq3xmnxjj" w:colLast="0"/>
      <w:bookmarkEnd w:id="6"/>
      <w:r w:rsidRPr="00000000" w:rsidR="00000000" w:rsidDel="00000000">
        <w:rPr>
          <w:rtl w:val="0"/>
        </w:rPr>
        <w:t xml:space="preserve">Problem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sequence of events of interest is: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#data6 (%01001111 or $4F) is moved to D1</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#data7 (%00010111 or $17) is moved to D2</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#data3 ($5555) is moved to D3</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#addr1 ($4000) is moved to A0</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D1 ($4F) is moved to A0’s indirect address, i.e. $4000.</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A0’s content is incremented by 1, i.e. A0 now holds $4001</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D2 is moved to A0’s indirect address, i.e. $4001.</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#addr1 ($4000) is moved to A1</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 logical AND operation is performed on the data stored in D3 and A1’s indirect address, i.e. $4000</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D3 stores $5555, or %101010101010101</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$4000 stores $4F, or %01001111, which is exactly one byte of data</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$4001 stores $17, or %00010111, which is exactly one byte of data</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Together, the WORD value at $4000 is %0100111100010111</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AND the following pair of values:</w:t>
      </w:r>
    </w:p>
    <w:p w:rsidP="00000000" w:rsidRPr="00000000" w:rsidR="00000000" w:rsidDel="00000000" w:rsidRDefault="00000000">
      <w:pPr>
        <w:numPr>
          <w:ilvl w:val="2"/>
          <w:numId w:val="6"/>
        </w:numPr>
        <w:ind w:left="2160" w:hanging="359"/>
        <w:contextualSpacing w:val="1"/>
        <w:rPr>
          <w:rFonts w:cs="Droid Sans Mono" w:hAnsi="Droid Sans Mono" w:eastAsia="Droid Sans Mono" w:ascii="Droid Sans Mono"/>
        </w:rPr>
      </w:pPr>
      <w:r w:rsidRPr="00000000" w:rsidR="00000000" w:rsidDel="00000000">
        <w:rPr>
          <w:rFonts w:cs="Droid Sans Mono" w:hAnsi="Droid Sans Mono" w:eastAsia="Droid Sans Mono" w:ascii="Droid Sans Mono"/>
          <w:rtl w:val="0"/>
        </w:rPr>
        <w:t xml:space="preserve">%0101010101010101</w:t>
      </w:r>
    </w:p>
    <w:p w:rsidP="00000000" w:rsidRPr="00000000" w:rsidR="00000000" w:rsidDel="00000000" w:rsidRDefault="00000000">
      <w:pPr>
        <w:numPr>
          <w:ilvl w:val="2"/>
          <w:numId w:val="6"/>
        </w:numPr>
        <w:ind w:left="2160" w:hanging="359"/>
        <w:contextualSpacing w:val="1"/>
        <w:rPr>
          <w:rFonts w:cs="Droid Sans Mono" w:hAnsi="Droid Sans Mono" w:eastAsia="Droid Sans Mono" w:ascii="Droid Sans Mono"/>
        </w:rPr>
      </w:pPr>
      <w:r w:rsidRPr="00000000" w:rsidR="00000000" w:rsidDel="00000000">
        <w:rPr>
          <w:rFonts w:cs="Droid Sans Mono" w:hAnsi="Droid Sans Mono" w:eastAsia="Droid Sans Mono" w:ascii="Droid Sans Mono"/>
          <w:rtl w:val="0"/>
        </w:rPr>
        <w:t xml:space="preserve">%0100111100010111</w:t>
      </w:r>
    </w:p>
    <w:p w:rsidP="00000000" w:rsidRPr="00000000" w:rsidR="00000000" w:rsidDel="00000000" w:rsidRDefault="00000000">
      <w:pPr>
        <w:numPr>
          <w:ilvl w:val="2"/>
          <w:numId w:val="6"/>
        </w:numPr>
        <w:ind w:left="2160" w:hanging="359"/>
        <w:contextualSpacing w:val="1"/>
        <w:rPr>
          <w:rFonts w:cs="Droid Sans Mono" w:hAnsi="Droid Sans Mono" w:eastAsia="Droid Sans Mono" w:ascii="Droid Sans Mono"/>
        </w:rPr>
      </w:pPr>
      <w:r w:rsidRPr="00000000" w:rsidR="00000000" w:rsidDel="00000000">
        <w:rPr>
          <w:rFonts w:cs="Droid Sans Mono" w:hAnsi="Droid Sans Mono" w:eastAsia="Droid Sans Mono" w:ascii="Droid Sans Mono"/>
          <w:rtl w:val="0"/>
        </w:rPr>
        <w:t xml:space="preserve">-------AND-------</w:t>
      </w:r>
    </w:p>
    <w:p w:rsidP="00000000" w:rsidRPr="00000000" w:rsidR="00000000" w:rsidDel="00000000" w:rsidRDefault="00000000">
      <w:pPr>
        <w:numPr>
          <w:ilvl w:val="2"/>
          <w:numId w:val="6"/>
        </w:numPr>
        <w:ind w:left="2160" w:hanging="359"/>
        <w:contextualSpacing w:val="1"/>
        <w:rPr>
          <w:u w:val="none"/>
        </w:rPr>
      </w:pPr>
      <w:r w:rsidRPr="00000000" w:rsidR="00000000" w:rsidDel="00000000">
        <w:rPr>
          <w:rFonts w:cs="Droid Sans Mono" w:hAnsi="Droid Sans Mono" w:eastAsia="Droid Sans Mono" w:ascii="Droid Sans Mono"/>
          <w:rtl w:val="0"/>
        </w:rPr>
        <w:t xml:space="preserve">%0100010100010101,</w:t>
      </w:r>
      <w:r w:rsidRPr="00000000" w:rsidR="00000000" w:rsidDel="00000000">
        <w:rPr>
          <w:rtl w:val="0"/>
        </w:rPr>
        <w:t xml:space="preserve"> which is $4515</w:t>
      </w:r>
    </w:p>
    <w:p w:rsidP="00000000" w:rsidRPr="00000000" w:rsidR="00000000" w:rsidDel="00000000" w:rsidRDefault="00000000">
      <w:pPr>
        <w:contextualSpacing w:val="0"/>
      </w:pPr>
      <w:r w:rsidRPr="00000000" w:rsidR="00000000" w:rsidDel="00000000">
        <w:rPr>
          <w:rtl w:val="0"/>
        </w:rPr>
        <w:t xml:space="preserve">The content at $4000 after the AND operation is thus $4515.</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Mono"/>
  <w:font w:name="Robo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Roboto" w:hAnsi="Roboto" w:eastAsia="Roboto" w:ascii="Roboto"/>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contextualSpacing w:val="1"/>
    </w:pPr>
    <w:rPr>
      <w:sz w:val="48"/>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https://canvas.uw.edu/courses/925117/discussion_topics/2339720"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cp:coreProperties>
</file>