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statuto-social---sas-nombre-a-definir"/>
    <w:p>
      <w:pPr>
        <w:pStyle w:val="Heading1"/>
      </w:pPr>
      <w:r>
        <w:t xml:space="preserve">ESTATUTO SOCIAL - SAS [NOMBRE A DEFINIR]</w:t>
      </w:r>
    </w:p>
    <w:p>
      <w:pPr>
        <w:pStyle w:val="FirstParagraph"/>
      </w:pPr>
      <w:r>
        <w:rPr>
          <w:bCs/>
          <w:b/>
        </w:rPr>
        <w:t xml:space="preserve">BORRADOR - Requiere revisión de escribano matriculado</w:t>
      </w:r>
    </w:p>
    <w:p>
      <w:r>
        <w:pict>
          <v:rect style="width:0;height:1.5pt" o:hralign="center" o:hrstd="t" o:hr="t"/>
        </w:pict>
      </w:r>
    </w:p>
    <w:bookmarkStart w:id="20" w:name="artículo-1-denominación"/>
    <w:p>
      <w:pPr>
        <w:pStyle w:val="Heading2"/>
      </w:pPr>
      <w:r>
        <w:t xml:space="preserve">ARTÍCULO 1: DENOMINACIÓN</w:t>
      </w:r>
    </w:p>
    <w:p>
      <w:pPr>
        <w:pStyle w:val="FirstParagraph"/>
      </w:pPr>
      <w:r>
        <w:t xml:space="preserve">La sociedad se denomina</w:t>
      </w:r>
      <w:r>
        <w:t xml:space="preserve"> </w:t>
      </w:r>
      <w:r>
        <w:t xml:space="preserve">“</w:t>
      </w:r>
      <w:r>
        <w:t xml:space="preserve">[NOMBRE A DEFINIR] S.A.S.</w:t>
      </w:r>
      <w:r>
        <w:t xml:space="preserve">”</w:t>
      </w:r>
      <w:r>
        <w:t xml:space="preserve"> </w:t>
      </w:r>
      <w:r>
        <w:t xml:space="preserve">(Sociedad por Acciones Simplificada).</w:t>
      </w:r>
    </w:p>
    <w:bookmarkEnd w:id="20"/>
    <w:bookmarkStart w:id="21" w:name="artículo-2-domicilio"/>
    <w:p>
      <w:pPr>
        <w:pStyle w:val="Heading2"/>
      </w:pPr>
      <w:r>
        <w:t xml:space="preserve">ARTÍCULO 2: DOMICILIO</w:t>
      </w:r>
    </w:p>
    <w:p>
      <w:pPr>
        <w:pStyle w:val="FirstParagraph"/>
      </w:pPr>
      <w:r>
        <w:t xml:space="preserve">La sociedad tiene su domicilio legal en la ciudad de Alta Gracia, Provincia de Córdoba, República Argentina. Podrá establecer sucursales, agencias o representaciones en cualquier lugar del país o del extranjero.</w:t>
      </w:r>
    </w:p>
    <w:bookmarkEnd w:id="21"/>
    <w:bookmarkStart w:id="22" w:name="artículo-3-duración"/>
    <w:p>
      <w:pPr>
        <w:pStyle w:val="Heading2"/>
      </w:pPr>
      <w:r>
        <w:t xml:space="preserve">ARTÍCULO 3: DURACIÓN</w:t>
      </w:r>
    </w:p>
    <w:p>
      <w:pPr>
        <w:pStyle w:val="FirstParagraph"/>
      </w:pPr>
      <w:r>
        <w:t xml:space="preserve">La duración de la sociedad es de NOVENTA Y NUEVE (99) años contados desde la fecha de inscripción en el Registro Público.</w:t>
      </w:r>
    </w:p>
    <w:bookmarkEnd w:id="22"/>
    <w:bookmarkStart w:id="32" w:name="artículo-4-objeto-social"/>
    <w:p>
      <w:pPr>
        <w:pStyle w:val="Heading2"/>
      </w:pPr>
      <w:r>
        <w:t xml:space="preserve">ARTÍCULO 4: OBJETO SOCIAL</w:t>
      </w:r>
    </w:p>
    <w:p>
      <w:pPr>
        <w:pStyle w:val="FirstParagraph"/>
      </w:pPr>
      <w:r>
        <w:t xml:space="preserve">La sociedad tiene por objeto realizar por cuenta propia, de terceros o asociada a terceros, en el país o en el extranjero, las siguientes actividades:</w:t>
      </w:r>
    </w:p>
    <w:bookmarkStart w:id="23" w:name="desarrollo-de-software-y-sistemas"/>
    <w:p>
      <w:pPr>
        <w:pStyle w:val="Heading3"/>
      </w:pPr>
      <w:r>
        <w:t xml:space="preserve">4.1 Desarrollo de Software y Sistemas</w:t>
      </w:r>
    </w:p>
    <w:p>
      <w:pPr>
        <w:numPr>
          <w:ilvl w:val="0"/>
          <w:numId w:val="1001"/>
        </w:numPr>
        <w:pStyle w:val="Compact"/>
      </w:pPr>
      <w:r>
        <w:t xml:space="preserve">Diseño, desarrollo, implementación y mantenimiento de software a medida</w:t>
      </w:r>
    </w:p>
    <w:p>
      <w:pPr>
        <w:numPr>
          <w:ilvl w:val="0"/>
          <w:numId w:val="1001"/>
        </w:numPr>
        <w:pStyle w:val="Compact"/>
      </w:pPr>
      <w:r>
        <w:t xml:space="preserve">Desarrollo de aplicaciones web, móviles y de escritorio</w:t>
      </w:r>
    </w:p>
    <w:p>
      <w:pPr>
        <w:numPr>
          <w:ilvl w:val="0"/>
          <w:numId w:val="1001"/>
        </w:numPr>
        <w:pStyle w:val="Compact"/>
      </w:pPr>
      <w:r>
        <w:t xml:space="preserve">Integración de sistemas y middleware</w:t>
      </w:r>
    </w:p>
    <w:p>
      <w:pPr>
        <w:numPr>
          <w:ilvl w:val="0"/>
          <w:numId w:val="1001"/>
        </w:numPr>
        <w:pStyle w:val="Compact"/>
      </w:pPr>
      <w:r>
        <w:t xml:space="preserve">Desarrollo de APIs y microservicios</w:t>
      </w:r>
    </w:p>
    <w:bookmarkEnd w:id="23"/>
    <w:bookmarkStart w:id="24" w:name="inteligencia-artificial-y-automatización"/>
    <w:p>
      <w:pPr>
        <w:pStyle w:val="Heading3"/>
      </w:pPr>
      <w:r>
        <w:t xml:space="preserve">4.2 Inteligencia Artificial y Automatización</w:t>
      </w:r>
    </w:p>
    <w:p>
      <w:pPr>
        <w:numPr>
          <w:ilvl w:val="0"/>
          <w:numId w:val="1002"/>
        </w:numPr>
        <w:pStyle w:val="Compact"/>
      </w:pPr>
      <w:r>
        <w:t xml:space="preserve">Desarrollo e implementación de sistemas de inteligencia artificial</w:t>
      </w:r>
    </w:p>
    <w:p>
      <w:pPr>
        <w:numPr>
          <w:ilvl w:val="0"/>
          <w:numId w:val="1002"/>
        </w:numPr>
        <w:pStyle w:val="Compact"/>
      </w:pPr>
      <w:r>
        <w:t xml:space="preserve">Sistemas agénticos y autónomos para soporte de infraestructura</w:t>
      </w:r>
    </w:p>
    <w:p>
      <w:pPr>
        <w:numPr>
          <w:ilvl w:val="0"/>
          <w:numId w:val="1002"/>
        </w:numPr>
        <w:pStyle w:val="Compact"/>
      </w:pPr>
      <w:r>
        <w:t xml:space="preserve">Automatización de procesos mediante RPA y tecnologías afines</w:t>
      </w:r>
    </w:p>
    <w:p>
      <w:pPr>
        <w:numPr>
          <w:ilvl w:val="0"/>
          <w:numId w:val="1002"/>
        </w:numPr>
        <w:pStyle w:val="Compact"/>
      </w:pPr>
      <w:r>
        <w:t xml:space="preserve">Machine learning y análisis predictivo</w:t>
      </w:r>
    </w:p>
    <w:p>
      <w:pPr>
        <w:numPr>
          <w:ilvl w:val="0"/>
          <w:numId w:val="1002"/>
        </w:numPr>
        <w:pStyle w:val="Compact"/>
      </w:pPr>
      <w:r>
        <w:t xml:space="preserve">Chatbots, asistentes virtuales y sistemas conversacionales</w:t>
      </w:r>
    </w:p>
    <w:p>
      <w:pPr>
        <w:numPr>
          <w:ilvl w:val="0"/>
          <w:numId w:val="1002"/>
        </w:numPr>
        <w:pStyle w:val="Compact"/>
      </w:pPr>
      <w:r>
        <w:t xml:space="preserve">Sistemas de reemplazo y asistencia para mesas de ayuda</w:t>
      </w:r>
    </w:p>
    <w:bookmarkEnd w:id="24"/>
    <w:bookmarkStart w:id="25" w:name="consultoría-tecnológica"/>
    <w:p>
      <w:pPr>
        <w:pStyle w:val="Heading3"/>
      </w:pPr>
      <w:r>
        <w:t xml:space="preserve">4.3 Consultoría Tecnológica</w:t>
      </w:r>
    </w:p>
    <w:p>
      <w:pPr>
        <w:numPr>
          <w:ilvl w:val="0"/>
          <w:numId w:val="1003"/>
        </w:numPr>
        <w:pStyle w:val="Compact"/>
      </w:pPr>
      <w:r>
        <w:t xml:space="preserve">Asesoramiento en arquitectura de sistemas y soluciones tecnológicas</w:t>
      </w:r>
    </w:p>
    <w:p>
      <w:pPr>
        <w:numPr>
          <w:ilvl w:val="0"/>
          <w:numId w:val="1003"/>
        </w:numPr>
        <w:pStyle w:val="Compact"/>
      </w:pPr>
      <w:r>
        <w:t xml:space="preserve">Auditoría y diagnóstico de infraestructura IT</w:t>
      </w:r>
    </w:p>
    <w:p>
      <w:pPr>
        <w:numPr>
          <w:ilvl w:val="0"/>
          <w:numId w:val="1003"/>
        </w:numPr>
        <w:pStyle w:val="Compact"/>
      </w:pPr>
      <w:r>
        <w:t xml:space="preserve">Planificación estratégica de tecnología</w:t>
      </w:r>
    </w:p>
    <w:p>
      <w:pPr>
        <w:numPr>
          <w:ilvl w:val="0"/>
          <w:numId w:val="1003"/>
        </w:numPr>
        <w:pStyle w:val="Compact"/>
      </w:pPr>
      <w:r>
        <w:t xml:space="preserve">Gestión de proyectos tecnológicos</w:t>
      </w:r>
    </w:p>
    <w:bookmarkEnd w:id="25"/>
    <w:bookmarkStart w:id="26" w:name="cloud-computing-y-finops"/>
    <w:p>
      <w:pPr>
        <w:pStyle w:val="Heading3"/>
      </w:pPr>
      <w:r>
        <w:t xml:space="preserve">4.4 Cloud Computing y FinOps</w:t>
      </w:r>
    </w:p>
    <w:p>
      <w:pPr>
        <w:numPr>
          <w:ilvl w:val="0"/>
          <w:numId w:val="1004"/>
        </w:numPr>
        <w:pStyle w:val="Compact"/>
      </w:pPr>
      <w:r>
        <w:t xml:space="preserve">Diseño e implementación de soluciones en la nube</w:t>
      </w:r>
    </w:p>
    <w:p>
      <w:pPr>
        <w:numPr>
          <w:ilvl w:val="0"/>
          <w:numId w:val="1004"/>
        </w:numPr>
        <w:pStyle w:val="Compact"/>
      </w:pPr>
      <w:r>
        <w:t xml:space="preserve">Migración de sistemas a entornos cloud</w:t>
      </w:r>
    </w:p>
    <w:p>
      <w:pPr>
        <w:numPr>
          <w:ilvl w:val="0"/>
          <w:numId w:val="1004"/>
        </w:numPr>
        <w:pStyle w:val="Compact"/>
      </w:pPr>
      <w:r>
        <w:t xml:space="preserve">Optimización de costos en servicios de nube (FinOps)</w:t>
      </w:r>
    </w:p>
    <w:p>
      <w:pPr>
        <w:numPr>
          <w:ilvl w:val="0"/>
          <w:numId w:val="1004"/>
        </w:numPr>
        <w:pStyle w:val="Compact"/>
      </w:pPr>
      <w:r>
        <w:t xml:space="preserve">Administración de infraestructura cloud (AWS, Azure, GCP)</w:t>
      </w:r>
    </w:p>
    <w:p>
      <w:pPr>
        <w:numPr>
          <w:ilvl w:val="0"/>
          <w:numId w:val="1004"/>
        </w:numPr>
        <w:pStyle w:val="Compact"/>
      </w:pPr>
      <w:r>
        <w:t xml:space="preserve">DevOps y automatización de despliegues</w:t>
      </w:r>
    </w:p>
    <w:bookmarkEnd w:id="26"/>
    <w:bookmarkStart w:id="27" w:name="saas-y-productos-digitales"/>
    <w:p>
      <w:pPr>
        <w:pStyle w:val="Heading3"/>
      </w:pPr>
      <w:r>
        <w:t xml:space="preserve">4.5 SaaS y Productos Digitales</w:t>
      </w:r>
    </w:p>
    <w:p>
      <w:pPr>
        <w:numPr>
          <w:ilvl w:val="0"/>
          <w:numId w:val="1005"/>
        </w:numPr>
        <w:pStyle w:val="Compact"/>
      </w:pPr>
      <w:r>
        <w:t xml:space="preserve">Desarrollo y comercialización de software como servicio (SaaS)</w:t>
      </w:r>
    </w:p>
    <w:p>
      <w:pPr>
        <w:numPr>
          <w:ilvl w:val="0"/>
          <w:numId w:val="1005"/>
        </w:numPr>
        <w:pStyle w:val="Compact"/>
      </w:pPr>
      <w:r>
        <w:t xml:space="preserve">Plataformas de productividad y colaboración</w:t>
      </w:r>
    </w:p>
    <w:p>
      <w:pPr>
        <w:numPr>
          <w:ilvl w:val="0"/>
          <w:numId w:val="1005"/>
        </w:numPr>
        <w:pStyle w:val="Compact"/>
      </w:pPr>
      <w:r>
        <w:t xml:space="preserve">Productos digitales propios y de terceros</w:t>
      </w:r>
    </w:p>
    <w:bookmarkEnd w:id="27"/>
    <w:bookmarkStart w:id="28" w:name="outsourcing-de-servicios-it"/>
    <w:p>
      <w:pPr>
        <w:pStyle w:val="Heading3"/>
      </w:pPr>
      <w:r>
        <w:t xml:space="preserve">4.6 Outsourcing de Servicios IT</w:t>
      </w:r>
    </w:p>
    <w:p>
      <w:pPr>
        <w:numPr>
          <w:ilvl w:val="0"/>
          <w:numId w:val="1006"/>
        </w:numPr>
        <w:pStyle w:val="Compact"/>
      </w:pPr>
      <w:r>
        <w:t xml:space="preserve">Provisión de servicios de soporte técnico</w:t>
      </w:r>
    </w:p>
    <w:p>
      <w:pPr>
        <w:numPr>
          <w:ilvl w:val="0"/>
          <w:numId w:val="1006"/>
        </w:numPr>
        <w:pStyle w:val="Compact"/>
      </w:pPr>
      <w:r>
        <w:t xml:space="preserve">Administración de sistemas e infraestructura</w:t>
      </w:r>
    </w:p>
    <w:p>
      <w:pPr>
        <w:numPr>
          <w:ilvl w:val="0"/>
          <w:numId w:val="1006"/>
        </w:numPr>
        <w:pStyle w:val="Compact"/>
      </w:pPr>
      <w:r>
        <w:t xml:space="preserve">Servicios de mesa de ayuda y service desk</w:t>
      </w:r>
    </w:p>
    <w:p>
      <w:pPr>
        <w:numPr>
          <w:ilvl w:val="0"/>
          <w:numId w:val="1006"/>
        </w:numPr>
        <w:pStyle w:val="Compact"/>
      </w:pPr>
      <w:r>
        <w:t xml:space="preserve">Monitoreo y gestión de incidentes</w:t>
      </w:r>
    </w:p>
    <w:bookmarkEnd w:id="28"/>
    <w:bookmarkStart w:id="29" w:name="comercialización-y-licenciamiento"/>
    <w:p>
      <w:pPr>
        <w:pStyle w:val="Heading3"/>
      </w:pPr>
      <w:r>
        <w:t xml:space="preserve">4.7 Comercialización y Licenciamiento</w:t>
      </w:r>
    </w:p>
    <w:p>
      <w:pPr>
        <w:numPr>
          <w:ilvl w:val="0"/>
          <w:numId w:val="1007"/>
        </w:numPr>
        <w:pStyle w:val="Compact"/>
      </w:pPr>
      <w:r>
        <w:t xml:space="preserve">Compraventa de hardware, software y licencias</w:t>
      </w:r>
    </w:p>
    <w:p>
      <w:pPr>
        <w:numPr>
          <w:ilvl w:val="0"/>
          <w:numId w:val="1007"/>
        </w:numPr>
        <w:pStyle w:val="Compact"/>
      </w:pPr>
      <w:r>
        <w:t xml:space="preserve">Distribución de productos tecnológicos</w:t>
      </w:r>
    </w:p>
    <w:p>
      <w:pPr>
        <w:numPr>
          <w:ilvl w:val="0"/>
          <w:numId w:val="1007"/>
        </w:numPr>
        <w:pStyle w:val="Compact"/>
      </w:pPr>
      <w:r>
        <w:t xml:space="preserve">Representación de marcas y productos IT</w:t>
      </w:r>
    </w:p>
    <w:bookmarkEnd w:id="29"/>
    <w:bookmarkStart w:id="30" w:name="datos-y-analítica"/>
    <w:p>
      <w:pPr>
        <w:pStyle w:val="Heading3"/>
      </w:pPr>
      <w:r>
        <w:t xml:space="preserve">4.8 Datos y Analítica</w:t>
      </w:r>
    </w:p>
    <w:p>
      <w:pPr>
        <w:numPr>
          <w:ilvl w:val="0"/>
          <w:numId w:val="1008"/>
        </w:numPr>
        <w:pStyle w:val="Compact"/>
      </w:pPr>
      <w:r>
        <w:t xml:space="preserve">Servicios de análisis de datos y business intelligence</w:t>
      </w:r>
    </w:p>
    <w:p>
      <w:pPr>
        <w:numPr>
          <w:ilvl w:val="0"/>
          <w:numId w:val="1008"/>
        </w:numPr>
        <w:pStyle w:val="Compact"/>
      </w:pPr>
      <w:r>
        <w:t xml:space="preserve">Implementación de data warehouses y data lakes</w:t>
      </w:r>
    </w:p>
    <w:p>
      <w:pPr>
        <w:numPr>
          <w:ilvl w:val="0"/>
          <w:numId w:val="1008"/>
        </w:numPr>
        <w:pStyle w:val="Compact"/>
      </w:pPr>
      <w:r>
        <w:t xml:space="preserve">Visualización de datos y reportería</w:t>
      </w:r>
    </w:p>
    <w:bookmarkEnd w:id="30"/>
    <w:bookmarkStart w:id="31" w:name="actividades-complementarias"/>
    <w:p>
      <w:pPr>
        <w:pStyle w:val="Heading3"/>
      </w:pPr>
      <w:r>
        <w:t xml:space="preserve">4.9 Actividades Complementarias</w:t>
      </w:r>
    </w:p>
    <w:p>
      <w:pPr>
        <w:pStyle w:val="FirstParagraph"/>
      </w:pPr>
      <w:r>
        <w:t xml:space="preserve">Para el cumplimiento de su objeto, la sociedad podrá: adquirir, enajenar, arrendar, administrar bienes muebles e inmuebles; constituir y aceptar garantías reales y personales; celebrar contratos de colaboración empresarial, joint ventures, uniones transitorias de empresas y consorcios; participar en licitaciones públicas y privadas; y realizar toda otra actividad lícita relacionada directa o indirectamente con el objeto social.</w:t>
      </w:r>
    </w:p>
    <w:bookmarkEnd w:id="31"/>
    <w:bookmarkEnd w:id="32"/>
    <w:bookmarkStart w:id="33" w:name="artículo-5-capital-social"/>
    <w:p>
      <w:pPr>
        <w:pStyle w:val="Heading2"/>
      </w:pPr>
      <w:r>
        <w:t xml:space="preserve">ARTÍCULO 5: CAPITAL SOCIAL</w:t>
      </w:r>
    </w:p>
    <w:p>
      <w:pPr>
        <w:pStyle w:val="FirstParagraph"/>
      </w:pPr>
      <w:r>
        <w:t xml:space="preserve">El capital social se fija en la suma de PESOS [MONTO A DEFINIR] (</w:t>
      </w:r>
      <m:oMath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t>O</m:t>
            </m:r>
            <m:r>
              <m:t>N</m:t>
            </m:r>
            <m:r>
              <m:t>T</m:t>
            </m:r>
            <m:r>
              <m:t>O</m:t>
            </m:r>
          </m:e>
        </m:d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t>e</m:t>
        </m:r>
        <m:r>
          <m:t>p</m:t>
        </m:r>
        <m:r>
          <m:t>r</m:t>
        </m:r>
        <m:r>
          <m:t>e</m:t>
        </m:r>
        <m:r>
          <m:t>s</m:t>
        </m:r>
        <m:r>
          <m:t>e</m:t>
        </m:r>
        <m:r>
          <m:t>n</m:t>
        </m:r>
        <m:r>
          <m:t>t</m:t>
        </m:r>
        <m:r>
          <m:t>a</m:t>
        </m:r>
        <m:r>
          <m:t>d</m:t>
        </m:r>
        <m:r>
          <m:t>o</m:t>
        </m:r>
        <m:r>
          <m:t>p</m:t>
        </m:r>
        <m:r>
          <m:t>o</m:t>
        </m:r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C</m:t>
            </m:r>
            <m:r>
              <m:t>A</m:t>
            </m:r>
            <m:r>
              <m:t>N</m:t>
            </m:r>
            <m:r>
              <m:t>T</m:t>
            </m:r>
            <m:r>
              <m:t>I</m:t>
            </m:r>
            <m:r>
              <m:t>D</m:t>
            </m:r>
            <m:r>
              <m:t>A</m:t>
            </m:r>
            <m:r>
              <m:t>D</m:t>
            </m:r>
          </m:e>
        </m:d>
        <m:r>
          <m:t>a</m:t>
        </m:r>
        <m:r>
          <m:t>c</m:t>
        </m:r>
        <m:r>
          <m:t>c</m:t>
        </m:r>
        <m:r>
          <m:t>i</m:t>
        </m:r>
        <m:r>
          <m:t>o</m:t>
        </m:r>
        <m:r>
          <m:t>n</m:t>
        </m:r>
        <m:r>
          <m:t>e</m:t>
        </m:r>
        <m:r>
          <m:t>s</m:t>
        </m:r>
        <m:r>
          <m:t>o</m:t>
        </m:r>
        <m:r>
          <m:t>r</m:t>
        </m:r>
        <m:r>
          <m:t>d</m:t>
        </m:r>
        <m:r>
          <m:t>i</m:t>
        </m:r>
        <m:r>
          <m:t>n</m:t>
        </m:r>
        <m:r>
          <m:t>a</m:t>
        </m:r>
        <m:r>
          <m:t>r</m:t>
        </m:r>
        <m:r>
          <m:t>i</m:t>
        </m:r>
        <m:r>
          <m:t>a</m:t>
        </m:r>
        <m:r>
          <m:t>s</m:t>
        </m:r>
        <m:r>
          <m:t>d</m:t>
        </m:r>
        <m:r>
          <m:t>e</m:t>
        </m:r>
        <m:r>
          <m:t>P</m:t>
        </m:r>
        <m:r>
          <m:t>E</m:t>
        </m:r>
        <m:r>
          <m:t>S</m:t>
        </m:r>
        <m:r>
          <m:t>O</m:t>
        </m:r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  <m:r>
              <m:t>A</m:t>
            </m:r>
            <m:r>
              <m:t>L</m:t>
            </m:r>
            <m:r>
              <m:t>O</m:t>
            </m:r>
            <m:r>
              <m:t>R</m:t>
            </m:r>
            <m:r>
              <m:t>N</m:t>
            </m:r>
            <m:r>
              <m:t>O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e>
        </m:d>
        <m:r>
          <m:rPr>
            <m:sty m:val="p"/>
          </m:rPr>
          <m:t>(</m:t>
        </m:r>
      </m:oMath>
      <w:r>
        <w:t xml:space="preserve">[VALOR]) valor nominal cada una, con derecho a un (1) voto por acción.</w:t>
      </w:r>
    </w:p>
    <w:p>
      <w:pPr>
        <w:pStyle w:val="BodyText"/>
      </w:pPr>
      <w:r>
        <w:t xml:space="preserve">El capital social podrá ser aumentado por decisión del órgano de administración hasta el quíntuplo del capital social inscripto.</w:t>
      </w:r>
    </w:p>
    <w:bookmarkEnd w:id="33"/>
    <w:bookmarkStart w:id="34" w:name="artículo-6-acciones"/>
    <w:p>
      <w:pPr>
        <w:pStyle w:val="Heading2"/>
      </w:pPr>
      <w:r>
        <w:t xml:space="preserve">ARTÍCULO 6: ACCIONES</w:t>
      </w:r>
    </w:p>
    <w:p>
      <w:pPr>
        <w:pStyle w:val="FirstParagraph"/>
      </w:pPr>
      <w:r>
        <w:t xml:space="preserve">Las acciones serán nominativas no endosables. La sociedad podrá emitir acciones ordinarias y preferidas, con las características que determine la asamblea de accionistas.</w:t>
      </w:r>
    </w:p>
    <w:bookmarkEnd w:id="34"/>
    <w:bookmarkStart w:id="35" w:name="artículo-7-accionista-fundador"/>
    <w:p>
      <w:pPr>
        <w:pStyle w:val="Heading2"/>
      </w:pPr>
      <w:r>
        <w:t xml:space="preserve">ARTÍCULO 7: ACCIONISTA FUNDADOR</w:t>
      </w:r>
    </w:p>
    <w:p>
      <w:pPr>
        <w:pStyle w:val="FirstParagraph"/>
      </w:pPr>
      <w:r>
        <w:t xml:space="preserve">La sociedad se constituye con UN (1) accionista fundador: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[NOMBRE TERCER SOCIO]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[CANTIDAD]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DNI: [NÚMERO]</w:t>
      </w:r>
      <w:r>
        <w:t xml:space="preserve"> </w:t>
      </w:r>
      <w:r>
        <w:t xml:space="preserve">Domicilio: [DIRECCIÓN]</w:t>
      </w:r>
      <w:r>
        <w:t xml:space="preserve"> </w:t>
      </w:r>
      <w:r>
        <w:t xml:space="preserve">CUIT/CUIL: [NÚMERO]</w:t>
      </w:r>
    </w:p>
    <w:bookmarkEnd w:id="35"/>
    <w:bookmarkStart w:id="36" w:name="artículo-8-órgano-de-administración"/>
    <w:p>
      <w:pPr>
        <w:pStyle w:val="Heading2"/>
      </w:pPr>
      <w:r>
        <w:t xml:space="preserve">ARTÍCULO 8: ÓRGANO DE ADMINISTRACIÓN</w:t>
      </w:r>
    </w:p>
    <w:p>
      <w:pPr>
        <w:pStyle w:val="FirstParagraph"/>
      </w:pPr>
      <w:r>
        <w:t xml:space="preserve">La administración de la sociedad estará a cargo de UN (1) administrador, quien tendrá la representación legal de la sociedad.</w:t>
      </w:r>
    </w:p>
    <w:p>
      <w:pPr>
        <w:pStyle w:val="BodyText"/>
      </w:pPr>
      <w:r>
        <w:rPr>
          <w:bCs/>
          <w:b/>
        </w:rPr>
        <w:t xml:space="preserve">Administrador designado:</w:t>
      </w:r>
      <w:r>
        <w:t xml:space="preserve"> </w:t>
      </w:r>
      <w:r>
        <w:t xml:space="preserve">[NOMBRE TERCER SOCIO]</w:t>
      </w:r>
      <w:r>
        <w:t xml:space="preserve"> </w:t>
      </w:r>
      <w:r>
        <w:t xml:space="preserve">DNI: [NÚMERO]</w:t>
      </w:r>
      <w:r>
        <w:t xml:space="preserve"> </w:t>
      </w:r>
      <w:r>
        <w:t xml:space="preserve">Domicilio: [DIRECCIÓN]</w:t>
      </w:r>
    </w:p>
    <w:p>
      <w:pPr>
        <w:pStyle w:val="BodyText"/>
      </w:pPr>
      <w:r>
        <w:t xml:space="preserve">El administrador durará en su cargo por tiempo indeterminado, hasta su renuncia o remoción.</w:t>
      </w:r>
    </w:p>
    <w:bookmarkEnd w:id="36"/>
    <w:bookmarkStart w:id="37" w:name="artículo-9-facultades-del-administrador"/>
    <w:p>
      <w:pPr>
        <w:pStyle w:val="Heading2"/>
      </w:pPr>
      <w:r>
        <w:t xml:space="preserve">ARTÍCULO 9: FACULTADES DEL ADMINISTRADOR</w:t>
      </w:r>
    </w:p>
    <w:p>
      <w:pPr>
        <w:pStyle w:val="FirstParagraph"/>
      </w:pPr>
      <w:r>
        <w:t xml:space="preserve">El administrador tiene amplias facultades para administrar y disponer de los bienes sociales, celebrar contratos, abrir y operar cuentas bancarias, otorgar poderes generales o especiales, y realizar todos los actos necesarios para el cumplimiento del objeto social.</w:t>
      </w:r>
    </w:p>
    <w:p>
      <w:pPr>
        <w:pStyle w:val="BodyText"/>
      </w:pPr>
      <w:r>
        <w:t xml:space="preserve">Requerirán decisión del accionista:</w:t>
      </w:r>
      <w:r>
        <w:t xml:space="preserve"> </w:t>
      </w:r>
      <w:r>
        <w:t xml:space="preserve">- Modificación del estatuto</w:t>
      </w:r>
      <w:r>
        <w:t xml:space="preserve"> </w:t>
      </w:r>
      <w:r>
        <w:t xml:space="preserve">- Aumento o reducción de capital</w:t>
      </w:r>
      <w:r>
        <w:t xml:space="preserve"> </w:t>
      </w:r>
      <w:r>
        <w:t xml:space="preserve">- Transformación, fusión, escisión o disolución</w:t>
      </w:r>
      <w:r>
        <w:t xml:space="preserve"> </w:t>
      </w:r>
      <w:r>
        <w:t xml:space="preserve">- Designación y remoción del administrador</w:t>
      </w:r>
    </w:p>
    <w:bookmarkEnd w:id="37"/>
    <w:bookmarkStart w:id="38" w:name="artículo-10-fiscalización"/>
    <w:p>
      <w:pPr>
        <w:pStyle w:val="Heading2"/>
      </w:pPr>
      <w:r>
        <w:t xml:space="preserve">ARTÍCULO 10: FISCALIZACIÓN</w:t>
      </w:r>
    </w:p>
    <w:p>
      <w:pPr>
        <w:pStyle w:val="FirstParagraph"/>
      </w:pPr>
      <w:r>
        <w:t xml:space="preserve">La fiscalización de la sociedad estará a cargo del accionista o accionistas que representen al menos el cinco por ciento (5%) del capital social, quienes podrán examinar los libros y documentación social.</w:t>
      </w:r>
    </w:p>
    <w:p>
      <w:pPr>
        <w:pStyle w:val="BodyText"/>
      </w:pPr>
      <w:r>
        <w:t xml:space="preserve">Mientras la sociedad sea unipersonal, la fiscalización será ejercida por el accionista único.</w:t>
      </w:r>
    </w:p>
    <w:bookmarkEnd w:id="38"/>
    <w:bookmarkStart w:id="39" w:name="artículo-11-reuniones-de-accionistas"/>
    <w:p>
      <w:pPr>
        <w:pStyle w:val="Heading2"/>
      </w:pPr>
      <w:r>
        <w:t xml:space="preserve">ARTÍCULO 11: REUNIONES DE ACCIONISTAS</w:t>
      </w:r>
    </w:p>
    <w:p>
      <w:pPr>
        <w:pStyle w:val="FirstParagraph"/>
      </w:pPr>
      <w:r>
        <w:t xml:space="preserve">Las reuniones de accionistas podrán celebrarse en el domicilio social o mediante medios electrónicos que permitan la comunicación simultánea. Las decisiones se adoptarán por mayoría simple de votos presentes, salvo los casos que requieran mayorías especiales según la ley.</w:t>
      </w:r>
    </w:p>
    <w:bookmarkEnd w:id="39"/>
    <w:bookmarkStart w:id="40" w:name="artículo-12-ejercicio-social"/>
    <w:p>
      <w:pPr>
        <w:pStyle w:val="Heading2"/>
      </w:pPr>
      <w:r>
        <w:t xml:space="preserve">ARTÍCULO 12: EJERCICIO SOCIAL</w:t>
      </w:r>
    </w:p>
    <w:p>
      <w:pPr>
        <w:pStyle w:val="FirstParagraph"/>
      </w:pPr>
      <w:r>
        <w:t xml:space="preserve">El ejercicio social cierra el 31 de diciembre de cada año. A dicha fecha se confeccionarán los estados contables conforme a las normas vigentes.</w:t>
      </w:r>
    </w:p>
    <w:bookmarkEnd w:id="40"/>
    <w:bookmarkStart w:id="41" w:name="artículo-13-distribución-de-utilidades"/>
    <w:p>
      <w:pPr>
        <w:pStyle w:val="Heading2"/>
      </w:pPr>
      <w:r>
        <w:t xml:space="preserve">ARTÍCULO 13: DISTRIBUCIÓN DE UTILIDADES</w:t>
      </w:r>
    </w:p>
    <w:p>
      <w:pPr>
        <w:pStyle w:val="FirstParagraph"/>
      </w:pPr>
      <w:r>
        <w:t xml:space="preserve">Las utilidades líquidas y realizadas se distribuirán de la siguiente forma:</w:t>
      </w:r>
      <w:r>
        <w:t xml:space="preserve"> </w:t>
      </w:r>
      <w:r>
        <w:t xml:space="preserve">1. Cinco por ciento (5%) para reserva legal hasta alcanzar el veinte por ciento (20%) del capital social</w:t>
      </w:r>
      <w:r>
        <w:t xml:space="preserve"> </w:t>
      </w:r>
      <w:r>
        <w:t xml:space="preserve">2. El remanente según lo disponga la reunión de accionistas</w:t>
      </w:r>
    </w:p>
    <w:bookmarkEnd w:id="41"/>
    <w:bookmarkStart w:id="42" w:name="artículo-14-disolución-y-liquidación"/>
    <w:p>
      <w:pPr>
        <w:pStyle w:val="Heading2"/>
      </w:pPr>
      <w:r>
        <w:t xml:space="preserve">ARTÍCULO 14: DISOLUCIÓN Y LIQUIDACIÓN</w:t>
      </w:r>
    </w:p>
    <w:p>
      <w:pPr>
        <w:pStyle w:val="FirstParagraph"/>
      </w:pPr>
      <w:r>
        <w:t xml:space="preserve">La sociedad se disolverá por las causales previstas en la Ley General de Sociedades y la Ley 27.349. La liquidación estará a cargo del administrador o de quien designe la reunión de accionistas.</w:t>
      </w:r>
    </w:p>
    <w:bookmarkEnd w:id="42"/>
    <w:bookmarkStart w:id="43" w:name="artículo-15-resolución-de-conflictos"/>
    <w:p>
      <w:pPr>
        <w:pStyle w:val="Heading2"/>
      </w:pPr>
      <w:r>
        <w:t xml:space="preserve">ARTÍCULO 15: RESOLUCIÓN DE CONFLICTOS</w:t>
      </w:r>
    </w:p>
    <w:p>
      <w:pPr>
        <w:pStyle w:val="FirstParagraph"/>
      </w:pPr>
      <w:r>
        <w:t xml:space="preserve">Toda controversia derivada del presente estatuto o relacionada con él será resuelta mediante arbitraje de derecho, conforme al Reglamento de Arbitraje del Centro Empresarial de Mediación y Arbitraje de Córdoba, o el que las partes acuerden.</w:t>
      </w:r>
    </w:p>
    <w:p>
      <w:r>
        <w:pict>
          <v:rect style="width:0;height:1.5pt" o:hralign="center" o:hrstd="t" o:hr="t"/>
        </w:pict>
      </w:r>
    </w:p>
    <w:bookmarkEnd w:id="43"/>
    <w:bookmarkStart w:id="44" w:name="Xbc4fc15496c37cebca3e660196d867907adcfbf"/>
    <w:p>
      <w:pPr>
        <w:pStyle w:val="Heading2"/>
      </w:pPr>
      <w:r>
        <w:t xml:space="preserve">DATOS PARA COMPLETAR ANTES DE CONSTITUCIÓN</w:t>
      </w:r>
    </w:p>
    <w:p>
      <w:pPr>
        <w:numPr>
          <w:ilvl w:val="0"/>
          <w:numId w:val="1009"/>
        </w:numPr>
        <w:pStyle w:val="Compact"/>
      </w:pPr>
      <w:r>
        <w:t xml:space="preserve">☐ Nombre/denominación social</w:t>
      </w:r>
    </w:p>
    <w:p>
      <w:pPr>
        <w:numPr>
          <w:ilvl w:val="0"/>
          <w:numId w:val="1009"/>
        </w:numPr>
        <w:pStyle w:val="Compact"/>
      </w:pPr>
      <w:r>
        <w:t xml:space="preserve">☐ Monto de capital social (mínimo 2 salarios mínimos)</w:t>
      </w:r>
    </w:p>
    <w:p>
      <w:pPr>
        <w:numPr>
          <w:ilvl w:val="0"/>
          <w:numId w:val="1009"/>
        </w:numPr>
        <w:pStyle w:val="Compact"/>
      </w:pPr>
      <w:r>
        <w:t xml:space="preserve">☐ Datos completos del tercer socio (DNI, CUIT, domicilio)</w:t>
      </w:r>
    </w:p>
    <w:p>
      <w:pPr>
        <w:numPr>
          <w:ilvl w:val="0"/>
          <w:numId w:val="1009"/>
        </w:numPr>
        <w:pStyle w:val="Compact"/>
      </w:pPr>
      <w:r>
        <w:t xml:space="preserve">☐ Domicilio legal exacto en Alta Gracia</w:t>
      </w:r>
    </w:p>
    <w:bookmarkEnd w:id="44"/>
    <w:bookmarkStart w:id="45" w:name="trámite-en-córdoba"/>
    <w:p>
      <w:pPr>
        <w:pStyle w:val="Heading2"/>
      </w:pPr>
      <w:r>
        <w:t xml:space="preserve">TRÁMITE EN CÓRDOBA</w:t>
      </w:r>
    </w:p>
    <w:p>
      <w:pPr>
        <w:numPr>
          <w:ilvl w:val="0"/>
          <w:numId w:val="1010"/>
        </w:numPr>
        <w:pStyle w:val="Compact"/>
      </w:pPr>
      <w:r>
        <w:t xml:space="preserve">Reserva de nombre en DGPJ Córdoba</w:t>
      </w:r>
    </w:p>
    <w:p>
      <w:pPr>
        <w:numPr>
          <w:ilvl w:val="0"/>
          <w:numId w:val="1010"/>
        </w:numPr>
        <w:pStyle w:val="Compact"/>
      </w:pPr>
      <w:r>
        <w:t xml:space="preserve">Constitución por instrumento privado con firmas certificadas</w:t>
      </w:r>
    </w:p>
    <w:p>
      <w:pPr>
        <w:numPr>
          <w:ilvl w:val="0"/>
          <w:numId w:val="1010"/>
        </w:numPr>
        <w:pStyle w:val="Compact"/>
      </w:pPr>
      <w:r>
        <w:t xml:space="preserve">Inscripción en Registro Público (DGPJ Córdoba)</w:t>
      </w:r>
    </w:p>
    <w:p>
      <w:pPr>
        <w:numPr>
          <w:ilvl w:val="0"/>
          <w:numId w:val="1010"/>
        </w:numPr>
        <w:pStyle w:val="Compact"/>
      </w:pPr>
      <w:r>
        <w:t xml:space="preserve">Publicación en Boletín Oficial (si corresponde)</w:t>
      </w:r>
    </w:p>
    <w:p>
      <w:pPr>
        <w:numPr>
          <w:ilvl w:val="0"/>
          <w:numId w:val="1010"/>
        </w:numPr>
        <w:pStyle w:val="Compact"/>
      </w:pPr>
      <w:r>
        <w:t xml:space="preserve">Obtención de CUIT en AFIP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ADVERTENCIA:</w:t>
      </w:r>
      <w:r>
        <w:t xml:space="preserve"> </w:t>
      </w:r>
      <w:r>
        <w:t xml:space="preserve">Este es un borrador de trabajo. Debe ser revisado y formalizado por un escribano público matriculado en la Provincia de Córdoba antes de su constitución.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2026-02-12T01:58:43Z</dcterms:created>
  <dcterms:modified xsi:type="dcterms:W3CDTF">2026-02-12T01:58:43Z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