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0F2540"/>
            <w:tcMar>
              <w:top w:w="220" w:type="dxa"/>
              <w:bottom w:w="220" w:type="dxa"/>
              <w:left w:w="240" w:type="dxa"/>
              <w:right w:w="240" w:type="dxa"/>
            </w:tcMar>
          </w:tcPr>
          <w:p>
            <w:pPr>
              <w:spacing w:after="80"/>
            </w:pPr>
            <w:r>
              <w:rPr>
                <w:b/>
                <w:color w:val="66CCCC"/>
                <w:sz w:val="18"/>
              </w:rPr>
              <w:t>COMPLETE ENTERPRISE ARCHITECTURE &amp; CONTEXT ENGINEERING COMPENDIUM (v2)</w:t>
              <w:br/>
            </w:r>
            <w:r>
              <w:rPr>
                <w:b/>
                <w:color w:val="FFFFFF"/>
                <w:sz w:val="35"/>
              </w:rPr>
              <w:t>DataHub Cloud (SaaS), Telekom Sutura, Semantic Layers &amp; Open-Source Governance Automation</w:t>
            </w:r>
          </w:p>
          <w:p>
            <w:pPr>
              <w:spacing w:before="80" w:after="0"/>
            </w:pPr>
            <w:r>
              <w:rPr>
                <w:color w:val="D2DCE6"/>
                <w:sz w:val="19"/>
              </w:rPr>
              <w:t>Includes: DataHub vs. DataJunction vs. Airbnb Minerva | Sutura Architecture &amp; Query Federation | DataHub Context Platform vs. Sutura Execution | Step-by-Step MCP Agent Sequence | Deep Dive: Structured/Analytical Data &amp; Semantic Metrics | Open-Source Replacements for Python Governance Scripts</w:t>
            </w:r>
          </w:p>
        </w:tc>
      </w:tr>
    </w:tbl>
    <w:p>
      <w:pPr>
        <w:spacing w:after="80"/>
      </w:pPr>
    </w:p>
    <w:p>
      <w:pPr>
        <w:keepNext/>
        <w:spacing w:before="360" w:after="120"/>
        <w:pBdr>
          <w:bottom w:val="single" w:sz="12" w:space="4" w:color="008080"/>
        </w:pBdr>
      </w:pPr>
      <w:r>
        <w:rPr>
          <w:rFonts w:ascii="Calibri" w:hAnsi="Calibri"/>
          <w:b/>
          <w:color w:val="008080"/>
          <w:sz w:val="30"/>
        </w:rPr>
        <w:t xml:space="preserve">01  </w:t>
      </w:r>
      <w:r>
        <w:rPr>
          <w:rFonts w:ascii="Calibri" w:hAnsi="Calibri"/>
          <w:b/>
          <w:color w:val="0F2540"/>
          <w:sz w:val="30"/>
        </w:rPr>
        <w:t>Executive Summary &amp; Architectural Positioning</w:t>
      </w:r>
    </w:p>
    <w:p>
      <w:r>
        <w:t>Modern enterprise data and AI architectures require two distinct but complementary planes to support both human analytics and autonomous AI agents: an Active Metadata &amp; Context Plane (such as DataHub Cloud / Acryl SaaS) and a Deterministic Semantic Execution Plane (such as Telekom Sutura, DataJunction, or Cube). While DataHub Cloud unifies structured technical metadata and unstructured institutional knowledge, it does not compile SQL, execute federated cross-database joins, or enforce per-user Row-Level Security (RLS) at query runtime. Pairing DataHub SaaS with Sutura and declarative open-source data quality frameworks eliminates fragile custom Python governance scripts and closes critical security gaps in agentic workflows.</w:t>
      </w:r>
    </w:p>
    <w:tbl>
      <w:tblPr>
        <w:tblW w:type="auto" w:w="0"/>
        <w:jc w:val="center"/>
        <w:tblLook w:firstColumn="1" w:firstRow="1" w:lastColumn="0" w:lastRow="0" w:noHBand="0" w:noVBand="1" w:val="04A0"/>
      </w:tblPr>
      <w:tblGrid>
        <w:gridCol w:w="9936"/>
      </w:tblGrid>
      <w:tr>
        <w:tc>
          <w:tcPr>
            <w:tcW w:type="dxa" w:w="9936"/>
            <w:shd w:fill="EBF3F5"/>
            <w:tcMar>
              <w:top w:w="140" w:type="dxa"/>
              <w:bottom w:w="140" w:type="dxa"/>
              <w:left w:w="180" w:type="dxa"/>
              <w:right w:w="160" w:type="dxa"/>
            </w:tcMar>
            <w:tcBorders>
              <w:left w:val="single" w:sz="24" w:space="0" w:color="008080"/>
              <w:top w:val="none"/>
              <w:right w:val="none"/>
              <w:bottom w:val="none"/>
            </w:tcBorders>
          </w:tcPr>
          <w:p>
            <w:pPr>
              <w:spacing w:after="60"/>
            </w:pPr>
            <w:r>
              <w:rPr>
                <w:b/>
                <w:color w:val="0F2540"/>
                <w:sz w:val="21"/>
              </w:rPr>
              <w:t>Key Architectural Takeaway for DataHub SaaS Users</w:t>
              <w:br/>
            </w:r>
            <w:r>
              <w:rPr>
                <w:color w:val="282D37"/>
                <w:sz w:val="20"/>
              </w:rPr>
              <w:t>DataHub Cloud (Acryl SaaS) exposes the exact same GraphQL and OpenAPI endpoints as DataHub Core. Telekom Sutura connects directly to your DataHub SaaS instance using a Personal Access Token (PAT) or Service Account token to pull pinned, cryptographically hashed snapshots of certified metrics and models—serving as your federated query engine and identity-enforcing MCP server.</w:t>
            </w:r>
          </w:p>
        </w:tc>
      </w:tr>
    </w:tbl>
    <w:p>
      <w:pPr>
        <w:spacing w:before="0" w:after="80"/>
      </w:pPr>
    </w:p>
    <w:p>
      <w:pPr>
        <w:keepNext/>
        <w:spacing w:before="360" w:after="120"/>
        <w:pBdr>
          <w:bottom w:val="single" w:sz="12" w:space="4" w:color="008080"/>
        </w:pBdr>
      </w:pPr>
      <w:r>
        <w:rPr>
          <w:rFonts w:ascii="Calibri" w:hAnsi="Calibri"/>
          <w:b/>
          <w:color w:val="008080"/>
          <w:sz w:val="30"/>
        </w:rPr>
        <w:t xml:space="preserve">02  </w:t>
      </w:r>
      <w:r>
        <w:rPr>
          <w:rFonts w:ascii="Calibri" w:hAnsi="Calibri"/>
          <w:b/>
          <w:color w:val="0F2540"/>
          <w:sz w:val="30"/>
        </w:rPr>
        <w:t>Platform Comparison: DataHub vs. DataJunction vs. Airbnb Minerva vs. Sutura</w:t>
      </w:r>
    </w:p>
    <w:p>
      <w:r>
        <w:t>Comparing DataHub, DataJunction (DJ), Airbnb's Minerva, and Telekom Sutura involves separating Active Metadata &amp; Data Cataloging (DataHub) from Semantic Layers, Metric Stores, and Identity-Aware Execution Runtimes (DataJunction, Minerva, and Sutura):</w:t>
      </w:r>
    </w:p>
    <w:tbl>
      <w:tblPr>
        <w:tblW w:type="auto" w:w="0"/>
        <w:jc w:val="center"/>
        <w:tblLook w:firstColumn="1" w:firstRow="1" w:lastColumn="0" w:lastRow="0" w:noHBand="0" w:noVBand="1" w:val="04A0"/>
        <w:tblBorders>
          <w:top w:val="single" w:sz="6" w:space="0" w:color="D1D9E6"/>
          <w:bottom w:val="single" w:sz="8" w:space="0" w:color="0F2540"/>
          <w:insideH w:val="single" w:sz="4" w:space="0" w:color="D1D9E6"/>
          <w:left w:val="none"/>
          <w:right w:val="none"/>
          <w:insideV w:val="none"/>
        </w:tblBorders>
      </w:tblPr>
      <w:tblGrid>
        <w:gridCol w:w="1987"/>
        <w:gridCol w:w="1987"/>
        <w:gridCol w:w="1987"/>
        <w:gridCol w:w="1987"/>
        <w:gridCol w:w="1987"/>
      </w:tblGrid>
      <w:tr>
        <w:tc>
          <w:tcPr>
            <w:tcW w:type="dxa" w:w="1584"/>
            <w:shd w:fill="0F2540"/>
            <w:tcMar>
              <w:top w:w="120" w:type="dxa"/>
              <w:bottom w:w="120" w:type="dxa"/>
              <w:left w:w="120" w:type="dxa"/>
              <w:right w:w="120" w:type="dxa"/>
            </w:tcMar>
            <w:vAlign w:val="center"/>
          </w:tcPr>
          <w:p>
            <w:pPr>
              <w:spacing w:after="0"/>
            </w:pPr>
            <w:r>
              <w:rPr>
                <w:b/>
                <w:color w:val="FFFFFF"/>
                <w:sz w:val="19"/>
              </w:rPr>
              <w:t>Dimension</w:t>
            </w:r>
          </w:p>
        </w:tc>
        <w:tc>
          <w:tcPr>
            <w:tcW w:type="dxa" w:w="2088"/>
            <w:shd w:fill="0F2540"/>
            <w:tcMar>
              <w:top w:w="120" w:type="dxa"/>
              <w:bottom w:w="120" w:type="dxa"/>
              <w:left w:w="120" w:type="dxa"/>
              <w:right w:w="120" w:type="dxa"/>
            </w:tcMar>
            <w:vAlign w:val="center"/>
          </w:tcPr>
          <w:p>
            <w:pPr>
              <w:spacing w:after="0"/>
            </w:pPr>
            <w:r>
              <w:rPr>
                <w:b/>
                <w:color w:val="FFFFFF"/>
                <w:sz w:val="19"/>
              </w:rPr>
              <w:t>DataHub (Core &amp; Acryl SaaS)</w:t>
            </w:r>
          </w:p>
        </w:tc>
        <w:tc>
          <w:tcPr>
            <w:tcW w:type="dxa" w:w="2016"/>
            <w:shd w:fill="0F2540"/>
            <w:tcMar>
              <w:top w:w="120" w:type="dxa"/>
              <w:bottom w:w="120" w:type="dxa"/>
              <w:left w:w="120" w:type="dxa"/>
              <w:right w:w="120" w:type="dxa"/>
            </w:tcMar>
            <w:vAlign w:val="center"/>
          </w:tcPr>
          <w:p>
            <w:pPr>
              <w:spacing w:after="0"/>
            </w:pPr>
            <w:r>
              <w:rPr>
                <w:b/>
                <w:color w:val="FFFFFF"/>
                <w:sz w:val="19"/>
              </w:rPr>
              <w:t>DataJunction (dj - OSS)</w:t>
            </w:r>
          </w:p>
        </w:tc>
        <w:tc>
          <w:tcPr>
            <w:tcW w:type="dxa" w:w="2016"/>
            <w:shd w:fill="0F2540"/>
            <w:tcMar>
              <w:top w:w="120" w:type="dxa"/>
              <w:bottom w:w="120" w:type="dxa"/>
              <w:left w:w="120" w:type="dxa"/>
              <w:right w:w="120" w:type="dxa"/>
            </w:tcMar>
            <w:vAlign w:val="center"/>
          </w:tcPr>
          <w:p>
            <w:pPr>
              <w:spacing w:after="0"/>
            </w:pPr>
            <w:r>
              <w:rPr>
                <w:b/>
                <w:color w:val="FFFFFF"/>
                <w:sz w:val="19"/>
              </w:rPr>
              <w:t>Airbnb Minerva (Internal)</w:t>
            </w:r>
          </w:p>
        </w:tc>
        <w:tc>
          <w:tcPr>
            <w:tcW w:type="dxa" w:w="2232"/>
            <w:shd w:fill="0F2540"/>
            <w:tcMar>
              <w:top w:w="120" w:type="dxa"/>
              <w:bottom w:w="120" w:type="dxa"/>
              <w:left w:w="120" w:type="dxa"/>
              <w:right w:w="120" w:type="dxa"/>
            </w:tcMar>
            <w:vAlign w:val="center"/>
          </w:tcPr>
          <w:p>
            <w:pPr>
              <w:spacing w:after="0"/>
            </w:pPr>
            <w:r>
              <w:rPr>
                <w:b/>
                <w:color w:val="FFFFFF"/>
                <w:sz w:val="19"/>
              </w:rPr>
              <w:t>Telekom Sutura (OSS)</w:t>
            </w:r>
          </w:p>
        </w:tc>
      </w:tr>
      <w:tr>
        <w:tc>
          <w:tcPr>
            <w:tcW w:type="dxa" w:w="1584"/>
            <w:shd w:fill="FFFFFF"/>
            <w:tcMar>
              <w:top w:w="100" w:type="dxa"/>
              <w:bottom w:w="100" w:type="dxa"/>
              <w:left w:w="120" w:type="dxa"/>
              <w:right w:w="120" w:type="dxa"/>
            </w:tcMar>
            <w:vAlign w:val="top"/>
          </w:tcPr>
          <w:p>
            <w:pPr>
              <w:spacing w:after="0" w:line="264" w:lineRule="auto"/>
            </w:pPr>
            <w:r>
              <w:rPr>
                <w:b/>
                <w:color w:val="0F2540"/>
                <w:sz w:val="19"/>
              </w:rPr>
              <w:t>Primary Category</w:t>
            </w:r>
          </w:p>
        </w:tc>
        <w:tc>
          <w:tcPr>
            <w:tcW w:type="dxa" w:w="2088"/>
            <w:shd w:fill="FFFFFF"/>
            <w:tcMar>
              <w:top w:w="100" w:type="dxa"/>
              <w:bottom w:w="100" w:type="dxa"/>
              <w:left w:w="120" w:type="dxa"/>
              <w:right w:w="120" w:type="dxa"/>
            </w:tcMar>
            <w:vAlign w:val="top"/>
          </w:tcPr>
          <w:p>
            <w:pPr>
              <w:spacing w:after="0" w:line="264" w:lineRule="auto"/>
            </w:pPr>
            <w:r>
              <w:rPr>
                <w:color w:val="282D37"/>
                <w:sz w:val="19"/>
              </w:rPr>
              <w:t>Active Metadata Platform, Data Catalog &amp; AI Context Graph</w:t>
            </w:r>
          </w:p>
        </w:tc>
        <w:tc>
          <w:tcPr>
            <w:tcW w:type="dxa" w:w="2016"/>
            <w:shd w:fill="FFFFFF"/>
            <w:tcMar>
              <w:top w:w="100" w:type="dxa"/>
              <w:bottom w:w="100" w:type="dxa"/>
              <w:left w:w="120" w:type="dxa"/>
              <w:right w:w="120" w:type="dxa"/>
            </w:tcMar>
            <w:vAlign w:val="top"/>
          </w:tcPr>
          <w:p>
            <w:pPr>
              <w:spacing w:after="0" w:line="264" w:lineRule="auto"/>
            </w:pPr>
            <w:r>
              <w:rPr>
                <w:color w:val="282D37"/>
                <w:sz w:val="19"/>
              </w:rPr>
              <w:t>Open-Source Semantic Layer &amp; Metric Store (incubated at Netflix)</w:t>
            </w:r>
          </w:p>
        </w:tc>
        <w:tc>
          <w:tcPr>
            <w:tcW w:type="dxa" w:w="2016"/>
            <w:shd w:fill="FFFFFF"/>
            <w:tcMar>
              <w:top w:w="100" w:type="dxa"/>
              <w:bottom w:w="100" w:type="dxa"/>
              <w:left w:w="120" w:type="dxa"/>
              <w:right w:w="120" w:type="dxa"/>
            </w:tcMar>
            <w:vAlign w:val="top"/>
          </w:tcPr>
          <w:p>
            <w:pPr>
              <w:spacing w:after="0" w:line="264" w:lineRule="auto"/>
            </w:pPr>
            <w:r>
              <w:rPr>
                <w:color w:val="282D37"/>
                <w:sz w:val="19"/>
              </w:rPr>
              <w:t>Proprietary Enterprise Metric Store &amp; Semantic Layer</w:t>
            </w:r>
          </w:p>
        </w:tc>
        <w:tc>
          <w:tcPr>
            <w:tcW w:type="dxa" w:w="2232"/>
            <w:shd w:fill="FFFFFF"/>
            <w:tcMar>
              <w:top w:w="100" w:type="dxa"/>
              <w:bottom w:w="100" w:type="dxa"/>
              <w:left w:w="120" w:type="dxa"/>
              <w:right w:w="120" w:type="dxa"/>
            </w:tcMar>
            <w:vAlign w:val="top"/>
          </w:tcPr>
          <w:p>
            <w:pPr>
              <w:spacing w:after="0" w:line="264" w:lineRule="auto"/>
            </w:pPr>
            <w:r>
              <w:rPr>
                <w:color w:val="282D37"/>
                <w:sz w:val="19"/>
              </w:rPr>
              <w:t>Identity-Propagating Semantic Runtime &amp; MCP Server</w:t>
            </w:r>
          </w:p>
        </w:tc>
      </w:tr>
      <w:tr>
        <w:tc>
          <w:tcPr>
            <w:tcW w:type="dxa" w:w="1584"/>
            <w:shd w:fill="F9FBFD"/>
            <w:tcMar>
              <w:top w:w="100" w:type="dxa"/>
              <w:bottom w:w="100" w:type="dxa"/>
              <w:left w:w="120" w:type="dxa"/>
              <w:right w:w="120" w:type="dxa"/>
            </w:tcMar>
            <w:vAlign w:val="top"/>
          </w:tcPr>
          <w:p>
            <w:pPr>
              <w:spacing w:after="0" w:line="264" w:lineRule="auto"/>
            </w:pPr>
            <w:r>
              <w:rPr>
                <w:b/>
                <w:color w:val="0F2540"/>
                <w:sz w:val="19"/>
              </w:rPr>
              <w:t>Core Purpose</w:t>
            </w:r>
          </w:p>
        </w:tc>
        <w:tc>
          <w:tcPr>
            <w:tcW w:type="dxa" w:w="2088"/>
            <w:shd w:fill="F9FBFD"/>
            <w:tcMar>
              <w:top w:w="100" w:type="dxa"/>
              <w:bottom w:w="100" w:type="dxa"/>
              <w:left w:w="120" w:type="dxa"/>
              <w:right w:w="120" w:type="dxa"/>
            </w:tcMar>
            <w:vAlign w:val="top"/>
          </w:tcPr>
          <w:p>
            <w:pPr>
              <w:spacing w:after="0" w:line="264" w:lineRule="auto"/>
            </w:pPr>
            <w:r>
              <w:rPr>
                <w:color w:val="282D37"/>
                <w:sz w:val="19"/>
              </w:rPr>
              <w:t>Discovery, column-level lineage, data contracts, governance, and unified AI context.</w:t>
            </w:r>
          </w:p>
        </w:tc>
        <w:tc>
          <w:tcPr>
            <w:tcW w:type="dxa" w:w="2016"/>
            <w:shd w:fill="F9FBFD"/>
            <w:tcMar>
              <w:top w:w="100" w:type="dxa"/>
              <w:bottom w:w="100" w:type="dxa"/>
              <w:left w:w="120" w:type="dxa"/>
              <w:right w:w="120" w:type="dxa"/>
            </w:tcMar>
            <w:vAlign w:val="top"/>
          </w:tcPr>
          <w:p>
            <w:pPr>
              <w:spacing w:after="0" w:line="264" w:lineRule="auto"/>
            </w:pPr>
            <w:r>
              <w:rPr>
                <w:color w:val="282D37"/>
                <w:sz w:val="19"/>
              </w:rPr>
              <w:t>Defining reusable SQL models, dimensions, and metrics; dynamically generating join/aggregation SQL.</w:t>
            </w:r>
          </w:p>
        </w:tc>
        <w:tc>
          <w:tcPr>
            <w:tcW w:type="dxa" w:w="2016"/>
            <w:shd w:fill="F9FBFD"/>
            <w:tcMar>
              <w:top w:w="100" w:type="dxa"/>
              <w:bottom w:w="100" w:type="dxa"/>
              <w:left w:w="120" w:type="dxa"/>
              <w:right w:w="120" w:type="dxa"/>
            </w:tcMar>
            <w:vAlign w:val="top"/>
          </w:tcPr>
          <w:p>
            <w:pPr>
              <w:spacing w:after="0" w:line="264" w:lineRule="auto"/>
            </w:pPr>
            <w:r>
              <w:rPr>
                <w:color w:val="282D37"/>
                <w:sz w:val="19"/>
              </w:rPr>
              <w:t>Centralizing metric definitions ('define once, use everywhere') across BI, experimentation, and analytics.</w:t>
            </w:r>
          </w:p>
        </w:tc>
        <w:tc>
          <w:tcPr>
            <w:tcW w:type="dxa" w:w="2232"/>
            <w:shd w:fill="F9FBFD"/>
            <w:tcMar>
              <w:top w:w="100" w:type="dxa"/>
              <w:bottom w:w="100" w:type="dxa"/>
              <w:left w:w="120" w:type="dxa"/>
              <w:right w:w="120" w:type="dxa"/>
            </w:tcMar>
            <w:vAlign w:val="top"/>
          </w:tcPr>
          <w:p>
            <w:pPr>
              <w:spacing w:after="0" w:line="264" w:lineRule="auto"/>
            </w:pPr>
            <w:r>
              <w:rPr>
                <w:color w:val="282D37"/>
                <w:sz w:val="19"/>
              </w:rPr>
              <w:t>Answering agent/user questions with certified catalog metrics while enforcing caller identity &amp; RLS.</w:t>
            </w:r>
          </w:p>
        </w:tc>
      </w:tr>
      <w:tr>
        <w:tc>
          <w:tcPr>
            <w:tcW w:type="dxa" w:w="1584"/>
            <w:shd w:fill="FFFFFF"/>
            <w:tcMar>
              <w:top w:w="100" w:type="dxa"/>
              <w:bottom w:w="100" w:type="dxa"/>
              <w:left w:w="120" w:type="dxa"/>
              <w:right w:w="120" w:type="dxa"/>
            </w:tcMar>
            <w:vAlign w:val="top"/>
          </w:tcPr>
          <w:p>
            <w:pPr>
              <w:spacing w:after="0" w:line="264" w:lineRule="auto"/>
            </w:pPr>
            <w:r>
              <w:rPr>
                <w:b/>
                <w:color w:val="0F2540"/>
                <w:sz w:val="19"/>
              </w:rPr>
              <w:t>Open Source Status</w:t>
            </w:r>
          </w:p>
        </w:tc>
        <w:tc>
          <w:tcPr>
            <w:tcW w:type="dxa" w:w="2088"/>
            <w:shd w:fill="FFFFFF"/>
            <w:tcMar>
              <w:top w:w="100" w:type="dxa"/>
              <w:bottom w:w="100" w:type="dxa"/>
              <w:left w:w="120" w:type="dxa"/>
              <w:right w:w="120" w:type="dxa"/>
            </w:tcMar>
            <w:vAlign w:val="top"/>
          </w:tcPr>
          <w:p>
            <w:pPr>
              <w:spacing w:after="0" w:line="264" w:lineRule="auto"/>
            </w:pPr>
            <w:r>
              <w:rPr>
                <w:color w:val="282D37"/>
                <w:sz w:val="19"/>
              </w:rPr>
              <w:t>Apache 2.0 (Core) + Managed Enterprise SaaS (Acryl Cloud)</w:t>
            </w:r>
          </w:p>
        </w:tc>
        <w:tc>
          <w:tcPr>
            <w:tcW w:type="dxa" w:w="2016"/>
            <w:shd w:fill="FFFFFF"/>
            <w:tcMar>
              <w:top w:w="100" w:type="dxa"/>
              <w:bottom w:w="100" w:type="dxa"/>
              <w:left w:w="120" w:type="dxa"/>
              <w:right w:w="120" w:type="dxa"/>
            </w:tcMar>
            <w:vAlign w:val="top"/>
          </w:tcPr>
          <w:p>
            <w:pPr>
              <w:spacing w:after="0" w:line="264" w:lineRule="auto"/>
            </w:pPr>
            <w:r>
              <w:rPr>
                <w:color w:val="282D37"/>
                <w:sz w:val="19"/>
              </w:rPr>
              <w:t>Open Source (MIT License)</w:t>
            </w:r>
          </w:p>
        </w:tc>
        <w:tc>
          <w:tcPr>
            <w:tcW w:type="dxa" w:w="2016"/>
            <w:shd w:fill="FFFFFF"/>
            <w:tcMar>
              <w:top w:w="100" w:type="dxa"/>
              <w:bottom w:w="100" w:type="dxa"/>
              <w:left w:w="120" w:type="dxa"/>
              <w:right w:w="120" w:type="dxa"/>
            </w:tcMar>
            <w:vAlign w:val="top"/>
          </w:tcPr>
          <w:p>
            <w:pPr>
              <w:spacing w:after="0" w:line="264" w:lineRule="auto"/>
            </w:pPr>
            <w:r>
              <w:rPr>
                <w:color w:val="282D37"/>
                <w:sz w:val="19"/>
              </w:rPr>
              <w:t>Closed Source (Internal Airbnb platform shared via engineering blogs)</w:t>
            </w:r>
          </w:p>
        </w:tc>
        <w:tc>
          <w:tcPr>
            <w:tcW w:type="dxa" w:w="2232"/>
            <w:shd w:fill="FFFFFF"/>
            <w:tcMar>
              <w:top w:w="100" w:type="dxa"/>
              <w:bottom w:w="100" w:type="dxa"/>
              <w:left w:w="120" w:type="dxa"/>
              <w:right w:w="120" w:type="dxa"/>
            </w:tcMar>
            <w:vAlign w:val="top"/>
          </w:tcPr>
          <w:p>
            <w:pPr>
              <w:spacing w:after="0" w:line="264" w:lineRule="auto"/>
            </w:pPr>
            <w:r>
              <w:rPr>
                <w:color w:val="282D37"/>
                <w:sz w:val="19"/>
              </w:rPr>
              <w:t>Open Source (Apache 2.0, built in Rust by Deutsche Telekom)</w:t>
            </w:r>
          </w:p>
        </w:tc>
      </w:tr>
      <w:tr>
        <w:tc>
          <w:tcPr>
            <w:tcW w:type="dxa" w:w="1584"/>
            <w:shd w:fill="F9FBFD"/>
            <w:tcMar>
              <w:top w:w="100" w:type="dxa"/>
              <w:bottom w:w="100" w:type="dxa"/>
              <w:left w:w="120" w:type="dxa"/>
              <w:right w:w="120" w:type="dxa"/>
            </w:tcMar>
            <w:vAlign w:val="top"/>
          </w:tcPr>
          <w:p>
            <w:pPr>
              <w:spacing w:after="0" w:line="264" w:lineRule="auto"/>
            </w:pPr>
            <w:r>
              <w:rPr>
                <w:b/>
                <w:color w:val="0F2540"/>
                <w:sz w:val="19"/>
              </w:rPr>
              <w:t>How It Handles Metrics</w:t>
            </w:r>
          </w:p>
        </w:tc>
        <w:tc>
          <w:tcPr>
            <w:tcW w:type="dxa" w:w="2088"/>
            <w:shd w:fill="F9FBFD"/>
            <w:tcMar>
              <w:top w:w="100" w:type="dxa"/>
              <w:bottom w:w="100" w:type="dxa"/>
              <w:left w:w="120" w:type="dxa"/>
              <w:right w:w="120" w:type="dxa"/>
            </w:tcMar>
            <w:vAlign w:val="top"/>
          </w:tcPr>
          <w:p>
            <w:pPr>
              <w:spacing w:after="0" w:line="264" w:lineRule="auto"/>
            </w:pPr>
            <w:r>
              <w:rPr>
                <w:color w:val="282D37"/>
                <w:sz w:val="19"/>
              </w:rPr>
              <w:t>Catalogs &amp; Governs: Stores metric definitions, owners, lineage, and docs. Does NOT compute SQL.</w:t>
            </w:r>
          </w:p>
        </w:tc>
        <w:tc>
          <w:tcPr>
            <w:tcW w:type="dxa" w:w="2016"/>
            <w:shd w:fill="F9FBFD"/>
            <w:tcMar>
              <w:top w:w="100" w:type="dxa"/>
              <w:bottom w:w="100" w:type="dxa"/>
              <w:left w:w="120" w:type="dxa"/>
              <w:right w:w="120" w:type="dxa"/>
            </w:tcMar>
            <w:vAlign w:val="top"/>
          </w:tcPr>
          <w:p>
            <w:pPr>
              <w:spacing w:after="0" w:line="264" w:lineRule="auto"/>
            </w:pPr>
            <w:r>
              <w:rPr>
                <w:color w:val="282D37"/>
                <w:sz w:val="19"/>
              </w:rPr>
              <w:t>Computes &amp; Transpiles: Parses SQL into ASTs, builds a DAG of nodes, resolves join paths, transpiles SQL.</w:t>
            </w:r>
          </w:p>
        </w:tc>
        <w:tc>
          <w:tcPr>
            <w:tcW w:type="dxa" w:w="2016"/>
            <w:shd w:fill="F9FBFD"/>
            <w:tcMar>
              <w:top w:w="100" w:type="dxa"/>
              <w:bottom w:w="100" w:type="dxa"/>
              <w:left w:w="120" w:type="dxa"/>
              <w:right w:w="120" w:type="dxa"/>
            </w:tcMar>
            <w:vAlign w:val="top"/>
          </w:tcPr>
          <w:p>
            <w:pPr>
              <w:spacing w:after="0" w:line="264" w:lineRule="auto"/>
            </w:pPr>
            <w:r>
              <w:rPr>
                <w:color w:val="282D37"/>
                <w:sz w:val="19"/>
              </w:rPr>
              <w:t>Computes, Materializes &amp; Serves: Orchestrates Spark/Airflow backfills + serves via StarRocks/Presto.</w:t>
            </w:r>
          </w:p>
        </w:tc>
        <w:tc>
          <w:tcPr>
            <w:tcW w:type="dxa" w:w="2232"/>
            <w:shd w:fill="F9FBFD"/>
            <w:tcMar>
              <w:top w:w="100" w:type="dxa"/>
              <w:bottom w:w="100" w:type="dxa"/>
              <w:left w:w="120" w:type="dxa"/>
              <w:right w:w="120" w:type="dxa"/>
            </w:tcMar>
            <w:vAlign w:val="top"/>
          </w:tcPr>
          <w:p>
            <w:pPr>
              <w:spacing w:after="0" w:line="264" w:lineRule="auto"/>
            </w:pPr>
            <w:r>
              <w:rPr>
                <w:color w:val="282D37"/>
                <w:sz w:val="19"/>
              </w:rPr>
              <w:t>Compiles &amp; Executes Safely: Reads certified metrics from Catalog, compiles DataFusion plans, enforces caller RLS.</w:t>
            </w:r>
          </w:p>
        </w:tc>
      </w:tr>
      <w:tr>
        <w:tc>
          <w:tcPr>
            <w:tcW w:type="dxa" w:w="1584"/>
            <w:shd w:fill="FFFFFF"/>
            <w:tcMar>
              <w:top w:w="100" w:type="dxa"/>
              <w:bottom w:w="100" w:type="dxa"/>
              <w:left w:w="120" w:type="dxa"/>
              <w:right w:w="120" w:type="dxa"/>
            </w:tcMar>
            <w:vAlign w:val="top"/>
          </w:tcPr>
          <w:p>
            <w:pPr>
              <w:spacing w:after="0" w:line="264" w:lineRule="auto"/>
            </w:pPr>
            <w:r>
              <w:rPr>
                <w:b/>
                <w:color w:val="0F2540"/>
                <w:sz w:val="19"/>
              </w:rPr>
              <w:t>Query Federation</w:t>
            </w:r>
          </w:p>
        </w:tc>
        <w:tc>
          <w:tcPr>
            <w:tcW w:type="dxa" w:w="2088"/>
            <w:shd w:fill="FFFFFF"/>
            <w:tcMar>
              <w:top w:w="100" w:type="dxa"/>
              <w:bottom w:w="100" w:type="dxa"/>
              <w:left w:w="120" w:type="dxa"/>
              <w:right w:w="120" w:type="dxa"/>
            </w:tcMar>
            <w:vAlign w:val="top"/>
          </w:tcPr>
          <w:p>
            <w:pPr>
              <w:spacing w:after="0" w:line="264" w:lineRule="auto"/>
            </w:pPr>
            <w:r>
              <w:rPr>
                <w:color w:val="282D37"/>
                <w:sz w:val="19"/>
              </w:rPr>
              <w:t>None (Metadata-only registry across sources)</w:t>
            </w:r>
          </w:p>
        </w:tc>
        <w:tc>
          <w:tcPr>
            <w:tcW w:type="dxa" w:w="2016"/>
            <w:shd w:fill="FFFFFF"/>
            <w:tcMar>
              <w:top w:w="100" w:type="dxa"/>
              <w:bottom w:w="100" w:type="dxa"/>
              <w:left w:w="120" w:type="dxa"/>
              <w:right w:w="120" w:type="dxa"/>
            </w:tcMar>
            <w:vAlign w:val="top"/>
          </w:tcPr>
          <w:p>
            <w:pPr>
              <w:spacing w:after="0" w:line="264" w:lineRule="auto"/>
            </w:pPr>
            <w:r>
              <w:rPr>
                <w:color w:val="282D37"/>
                <w:sz w:val="19"/>
              </w:rPr>
              <w:t>Supported via multi-engine SQL transpilation &amp; DuckDB/Trino</w:t>
            </w:r>
          </w:p>
        </w:tc>
        <w:tc>
          <w:tcPr>
            <w:tcW w:type="dxa" w:w="2016"/>
            <w:shd w:fill="FFFFFF"/>
            <w:tcMar>
              <w:top w:w="100" w:type="dxa"/>
              <w:bottom w:w="100" w:type="dxa"/>
              <w:left w:w="120" w:type="dxa"/>
              <w:right w:w="120" w:type="dxa"/>
            </w:tcMar>
            <w:vAlign w:val="top"/>
          </w:tcPr>
          <w:p>
            <w:pPr>
              <w:spacing w:after="0" w:line="264" w:lineRule="auto"/>
            </w:pPr>
            <w:r>
              <w:rPr>
                <w:color w:val="282D37"/>
                <w:sz w:val="19"/>
              </w:rPr>
              <w:t>Centralized on StarRocks / Presto over normalized/denormalized tables</w:t>
            </w:r>
          </w:p>
        </w:tc>
        <w:tc>
          <w:tcPr>
            <w:tcW w:type="dxa" w:w="2232"/>
            <w:shd w:fill="FFFFFF"/>
            <w:tcMar>
              <w:top w:w="100" w:type="dxa"/>
              <w:bottom w:w="100" w:type="dxa"/>
              <w:left w:w="120" w:type="dxa"/>
              <w:right w:w="120" w:type="dxa"/>
            </w:tcMar>
            <w:vAlign w:val="top"/>
          </w:tcPr>
          <w:p>
            <w:pPr>
              <w:spacing w:after="0" w:line="264" w:lineRule="auto"/>
            </w:pPr>
            <w:r>
              <w:rPr>
                <w:color w:val="282D37"/>
                <w:sz w:val="19"/>
              </w:rPr>
              <w:t>Native in-process federation via Apache DataFusion &amp; Arrow ADBC</w:t>
            </w:r>
          </w:p>
        </w:tc>
      </w:tr>
      <w:tr>
        <w:tc>
          <w:tcPr>
            <w:tcW w:type="dxa" w:w="1584"/>
            <w:shd w:fill="F9FBFD"/>
            <w:tcMar>
              <w:top w:w="100" w:type="dxa"/>
              <w:bottom w:w="100" w:type="dxa"/>
              <w:left w:w="120" w:type="dxa"/>
              <w:right w:w="120" w:type="dxa"/>
            </w:tcMar>
            <w:vAlign w:val="top"/>
          </w:tcPr>
          <w:p>
            <w:pPr>
              <w:spacing w:after="0" w:line="264" w:lineRule="auto"/>
            </w:pPr>
            <w:r>
              <w:rPr>
                <w:b/>
                <w:color w:val="0F2540"/>
                <w:sz w:val="19"/>
              </w:rPr>
              <w:t>Caller Identity &amp; RLS</w:t>
            </w:r>
          </w:p>
        </w:tc>
        <w:tc>
          <w:tcPr>
            <w:tcW w:type="dxa" w:w="2088"/>
            <w:shd w:fill="F9FBFD"/>
            <w:tcMar>
              <w:top w:w="100" w:type="dxa"/>
              <w:bottom w:w="100" w:type="dxa"/>
              <w:left w:w="120" w:type="dxa"/>
              <w:right w:w="120" w:type="dxa"/>
            </w:tcMar>
            <w:vAlign w:val="top"/>
          </w:tcPr>
          <w:p>
            <w:pPr>
              <w:spacing w:after="0" w:line="264" w:lineRule="auto"/>
            </w:pPr>
            <w:r>
              <w:rPr>
                <w:color w:val="282D37"/>
                <w:sz w:val="19"/>
              </w:rPr>
              <w:t>Governs metadata visibility; does not proxy database connections</w:t>
            </w:r>
          </w:p>
        </w:tc>
        <w:tc>
          <w:tcPr>
            <w:tcW w:type="dxa" w:w="2016"/>
            <w:shd w:fill="F9FBFD"/>
            <w:tcMar>
              <w:top w:w="100" w:type="dxa"/>
              <w:bottom w:w="100" w:type="dxa"/>
              <w:left w:w="120" w:type="dxa"/>
              <w:right w:w="120" w:type="dxa"/>
            </w:tcMar>
            <w:vAlign w:val="top"/>
          </w:tcPr>
          <w:p>
            <w:pPr>
              <w:spacing w:after="0" w:line="264" w:lineRule="auto"/>
            </w:pPr>
            <w:r>
              <w:rPr>
                <w:color w:val="282D37"/>
                <w:sz w:val="19"/>
              </w:rPr>
              <w:t>Service-account execution (relies on upstream gateway for user context)</w:t>
            </w:r>
          </w:p>
        </w:tc>
        <w:tc>
          <w:tcPr>
            <w:tcW w:type="dxa" w:w="2016"/>
            <w:shd w:fill="F9FBFD"/>
            <w:tcMar>
              <w:top w:w="100" w:type="dxa"/>
              <w:bottom w:w="100" w:type="dxa"/>
              <w:left w:w="120" w:type="dxa"/>
              <w:right w:w="120" w:type="dxa"/>
            </w:tcMar>
            <w:vAlign w:val="top"/>
          </w:tcPr>
          <w:p>
            <w:pPr>
              <w:spacing w:after="0" w:line="264" w:lineRule="auto"/>
            </w:pPr>
            <w:r>
              <w:rPr>
                <w:color w:val="282D37"/>
                <w:sz w:val="19"/>
              </w:rPr>
              <w:t>Internal Airbnb identity integration</w:t>
            </w:r>
          </w:p>
        </w:tc>
        <w:tc>
          <w:tcPr>
            <w:tcW w:type="dxa" w:w="2232"/>
            <w:shd w:fill="F9FBFD"/>
            <w:tcMar>
              <w:top w:w="100" w:type="dxa"/>
              <w:bottom w:w="100" w:type="dxa"/>
              <w:left w:w="120" w:type="dxa"/>
              <w:right w:w="120" w:type="dxa"/>
            </w:tcMar>
            <w:vAlign w:val="top"/>
          </w:tcPr>
          <w:p>
            <w:pPr>
              <w:spacing w:after="0" w:line="264" w:lineRule="auto"/>
            </w:pPr>
            <w:r>
              <w:rPr>
                <w:color w:val="282D37"/>
                <w:sz w:val="19"/>
              </w:rPr>
              <w:t>First-class 2-leg OIDC caller impersonation (BigQuery, ClickHouse, Oracle, Cube)</w:t>
            </w:r>
          </w:p>
        </w:tc>
      </w:tr>
    </w:tbl>
    <w:p>
      <w:pPr>
        <w:spacing w:after="80"/>
      </w:pPr>
    </w:p>
    <w:p>
      <w:pPr>
        <w:keepNext/>
        <w:spacing w:before="240" w:after="80"/>
      </w:pPr>
      <w:r>
        <w:rPr>
          <w:rFonts w:ascii="Calibri" w:hAnsi="Calibri"/>
          <w:b/>
          <w:color w:val="0F2540"/>
          <w:sz w:val="24"/>
        </w:rPr>
        <w:t>Deep Dive into Each Platform's Architectural Role</w:t>
      </w:r>
    </w:p>
    <w:p>
      <w:pPr>
        <w:pStyle w:val="ListBullet"/>
        <w:spacing w:before="40" w:after="80" w:line="276" w:lineRule="auto"/>
      </w:pPr>
      <w:r>
        <w:rPr>
          <w:b/>
          <w:color w:val="0F2540"/>
        </w:rPr>
        <w:t xml:space="preserve">1. DataHub (The Metadata &amp; Context Control Plane): </w:t>
      </w:r>
      <w:r>
        <w:rPr>
          <w:color w:val="282D37"/>
        </w:rPr>
        <w:t>Schema-first, stream-based metadata platform backed by a Kafka metadata commit log (Metadata Change Proposal / Metadata Change Log). Tracks Metrics and Glossary Terms as governance assets (ownership, lineage, upstream breaking changes) and serves unstructured docs, but never executes analytical SQL.</w:t>
      </w:r>
    </w:p>
    <w:p>
      <w:pPr>
        <w:pStyle w:val="ListBullet"/>
        <w:spacing w:before="40" w:after="80" w:line="276" w:lineRule="auto"/>
      </w:pPr>
      <w:r>
        <w:rPr>
          <w:b/>
          <w:color w:val="0F2540"/>
        </w:rPr>
        <w:t xml:space="preserve">2. DataJunction (`dj` — The Open-Source Graph Semantic Layer): </w:t>
      </w:r>
      <w:r>
        <w:rPr>
          <w:color w:val="282D37"/>
        </w:rPr>
        <w:t>Models everything as a Node in a Directed Acyclic Graph (DAG) using standard SQL: Source Nodes, Transform Nodes, Dimension Nodes, Metric Nodes, and Cube Nodes. Parses SQL into an Abstract Syntax Tree (AST) to automatically infer multi-hop join paths and transpile engine-specific SQL.</w:t>
      </w:r>
    </w:p>
    <w:p>
      <w:pPr>
        <w:pStyle w:val="ListBullet"/>
        <w:spacing w:before="40" w:after="80" w:line="276" w:lineRule="auto"/>
      </w:pPr>
      <w:r>
        <w:rPr>
          <w:b/>
          <w:color w:val="0F2540"/>
        </w:rPr>
        <w:t xml:space="preserve">3. Airbnb Minerva (Minerva 1.0 vs. Minerva 2.0): </w:t>
      </w:r>
      <w:r>
        <w:rPr>
          <w:color w:val="282D37"/>
        </w:rPr>
        <w:t>Minerva 1.0 relied on pre-computation and denormalization in Spark/Hive ingested into Druid/Presto with automated self-healing backfills. At 12,000+ metrics and 4,000+ dimensions, pre-computing every combination became cost-prohibitive. Minerva 2.0 shifted to a hybrid model using SQLGlot (created by Toby Mao at Airbnb) and StarRocks to perform fast on-the-fly joins directly against normalized tables.</w:t>
      </w:r>
    </w:p>
    <w:p>
      <w:pPr>
        <w:pStyle w:val="ListBullet"/>
        <w:spacing w:before="40" w:after="80" w:line="276" w:lineRule="auto"/>
      </w:pPr>
      <w:r>
        <w:rPr>
          <w:b/>
          <w:color w:val="0F2540"/>
        </w:rPr>
        <w:t xml:space="preserve">4. Telekom Sutura (The Governed Agent &amp; Metric Execution Plane): </w:t>
      </w:r>
      <w:r>
        <w:rPr>
          <w:color w:val="282D37"/>
        </w:rPr>
        <w:t>Written in Rust on Apache DataFusion, Arrow ADBC, and polyglot-sql. Borrows logical plan compilation from WrenAI and cross-source federation from Spice.ai, adding strict two-leg caller identity propagation, zero raw SQL execution, and cryptographic catalog pinning.</w:t>
      </w:r>
    </w:p>
    <w:p>
      <w:pPr>
        <w:keepNext/>
        <w:spacing w:before="360" w:after="120"/>
        <w:pBdr>
          <w:bottom w:val="single" w:sz="12" w:space="4" w:color="008080"/>
        </w:pBdr>
      </w:pPr>
      <w:r>
        <w:rPr>
          <w:rFonts w:ascii="Calibri" w:hAnsi="Calibri"/>
          <w:b/>
          <w:color w:val="008080"/>
          <w:sz w:val="30"/>
        </w:rPr>
        <w:t xml:space="preserve">03  </w:t>
      </w:r>
      <w:r>
        <w:rPr>
          <w:rFonts w:ascii="Calibri" w:hAnsi="Calibri"/>
          <w:b/>
          <w:color w:val="0F2540"/>
          <w:sz w:val="30"/>
        </w:rPr>
        <w:t>DataHub Context Platform vs. Sutura: Do You Need Both?</w:t>
      </w:r>
    </w:p>
    <w:p>
      <w:r>
        <w:t>DataHub Core 1.4.0+ and DataHub Cloud (SaaS) introduced a native AI Context Platform with an official DataHub MCP Server and vector embedding support for unstructured documents. Understanding why Deutsche Telekom still built Sutura on top of DataHub comes down to the distinction between the Context Discovery Plane and the Deterministic Query Execution Plane:</w:t>
      </w:r>
    </w:p>
    <w:p>
      <w:pPr>
        <w:keepNext/>
        <w:spacing w:before="240" w:after="80"/>
      </w:pPr>
      <w:r>
        <w:rPr>
          <w:rFonts w:ascii="Calibri" w:hAnsi="Calibri"/>
          <w:b/>
          <w:color w:val="0F2540"/>
          <w:sz w:val="24"/>
        </w:rPr>
        <w:t>What DataHub's Context Platform Solves (Structured Metadata + Unstructured Docs)</w:t>
      </w:r>
    </w:p>
    <w:p>
      <w:pPr>
        <w:pStyle w:val="ListBullet"/>
        <w:spacing w:before="40" w:after="80" w:line="276" w:lineRule="auto"/>
      </w:pPr>
      <w:r>
        <w:rPr>
          <w:b/>
          <w:color w:val="0F2540"/>
        </w:rPr>
        <w:t xml:space="preserve">Unstructured Institutional Knowledge Ingestion: </w:t>
      </w:r>
      <w:r>
        <w:rPr>
          <w:color w:val="282D37"/>
        </w:rPr>
        <w:t>DataHub natively ingests Confluence, Notion, Slack, GitHub PRs, SOPs, and runbooks—chunking documents, generating vector embeddings, and linking them to structured datasets and metrics in the metadata graph.</w:t>
      </w:r>
    </w:p>
    <w:p>
      <w:pPr>
        <w:pStyle w:val="ListBullet"/>
        <w:spacing w:before="40" w:after="80" w:line="276" w:lineRule="auto"/>
      </w:pPr>
      <w:r>
        <w:rPr>
          <w:b/>
          <w:color w:val="0F2540"/>
        </w:rPr>
        <w:t xml:space="preserve">Unified Context Retrieval over MCP: </w:t>
      </w:r>
      <w:r>
        <w:rPr>
          <w:color w:val="282D37"/>
        </w:rPr>
        <w:t>When an agent queries DataHub MCP, it receives both the unstructured business rule (e.g., a Notion SOP explaining metric policies) and the structured technical metadata (certified tables, schemas, lineage, and data contracts).</w:t>
      </w:r>
    </w:p>
    <w:p>
      <w:pPr>
        <w:keepNext/>
        <w:spacing w:before="240" w:after="80"/>
      </w:pPr>
      <w:r>
        <w:rPr>
          <w:rFonts w:ascii="Calibri" w:hAnsi="Calibri"/>
          <w:b/>
          <w:color w:val="0F2540"/>
          <w:sz w:val="24"/>
        </w:rPr>
        <w:t>What DataHub Alone Does NOT Solve (Why Sutura Exists)</w:t>
      </w:r>
    </w:p>
    <w:tbl>
      <w:tblPr>
        <w:tblW w:type="auto" w:w="0"/>
        <w:jc w:val="center"/>
        <w:tblLook w:firstColumn="1" w:firstRow="1" w:lastColumn="0" w:lastRow="0" w:noHBand="0" w:noVBand="1" w:val="04A0"/>
        <w:tblBorders>
          <w:top w:val="single" w:sz="6" w:space="0" w:color="D1D9E6"/>
          <w:bottom w:val="single" w:sz="8" w:space="0" w:color="0F2540"/>
          <w:insideH w:val="single" w:sz="4" w:space="0" w:color="D1D9E6"/>
          <w:left w:val="none"/>
          <w:right w:val="none"/>
          <w:insideV w:val="none"/>
        </w:tblBorders>
      </w:tblPr>
      <w:tblGrid>
        <w:gridCol w:w="3312"/>
        <w:gridCol w:w="3312"/>
        <w:gridCol w:w="3312"/>
      </w:tblGrid>
      <w:tr>
        <w:tc>
          <w:tcPr>
            <w:tcW w:type="dxa" w:w="2160"/>
            <w:shd w:fill="0F2540"/>
            <w:tcMar>
              <w:top w:w="120" w:type="dxa"/>
              <w:bottom w:w="120" w:type="dxa"/>
              <w:left w:w="120" w:type="dxa"/>
              <w:right w:w="120" w:type="dxa"/>
            </w:tcMar>
            <w:vAlign w:val="center"/>
          </w:tcPr>
          <w:p>
            <w:pPr>
              <w:spacing w:after="0"/>
            </w:pPr>
            <w:r>
              <w:rPr>
                <w:b/>
                <w:color w:val="FFFFFF"/>
                <w:sz w:val="19"/>
              </w:rPr>
              <w:t>Enterprise Requirement</w:t>
            </w:r>
          </w:p>
        </w:tc>
        <w:tc>
          <w:tcPr>
            <w:tcW w:type="dxa" w:w="3744"/>
            <w:shd w:fill="0F2540"/>
            <w:tcMar>
              <w:top w:w="120" w:type="dxa"/>
              <w:bottom w:w="120" w:type="dxa"/>
              <w:left w:w="120" w:type="dxa"/>
              <w:right w:w="120" w:type="dxa"/>
            </w:tcMar>
            <w:vAlign w:val="center"/>
          </w:tcPr>
          <w:p>
            <w:pPr>
              <w:spacing w:after="0"/>
            </w:pPr>
            <w:r>
              <w:rPr>
                <w:b/>
                <w:color w:val="FFFFFF"/>
                <w:sz w:val="19"/>
              </w:rPr>
              <w:t>DataHub Context Platform Alone</w:t>
            </w:r>
          </w:p>
        </w:tc>
        <w:tc>
          <w:tcPr>
            <w:tcW w:type="dxa" w:w="4032"/>
            <w:shd w:fill="0F2540"/>
            <w:tcMar>
              <w:top w:w="120" w:type="dxa"/>
              <w:bottom w:w="120" w:type="dxa"/>
              <w:left w:w="120" w:type="dxa"/>
              <w:right w:w="120" w:type="dxa"/>
            </w:tcMar>
            <w:vAlign w:val="center"/>
          </w:tcPr>
          <w:p>
            <w:pPr>
              <w:spacing w:after="0"/>
            </w:pPr>
            <w:r>
              <w:rPr>
                <w:b/>
                <w:color w:val="FFFFFF"/>
                <w:sz w:val="19"/>
              </w:rPr>
              <w:t>DataHub SaaS + Telekom Sutura</w:t>
            </w:r>
          </w:p>
        </w:tc>
      </w:tr>
      <w:tr>
        <w:tc>
          <w:tcPr>
            <w:tcW w:type="dxa" w:w="2160"/>
            <w:shd w:fill="FFFFFF"/>
            <w:tcMar>
              <w:top w:w="100" w:type="dxa"/>
              <w:bottom w:w="100" w:type="dxa"/>
              <w:left w:w="120" w:type="dxa"/>
              <w:right w:w="120" w:type="dxa"/>
            </w:tcMar>
            <w:vAlign w:val="top"/>
          </w:tcPr>
          <w:p>
            <w:pPr>
              <w:spacing w:after="0" w:line="264" w:lineRule="auto"/>
            </w:pPr>
            <w:r>
              <w:rPr>
                <w:b/>
                <w:color w:val="0F2540"/>
                <w:sz w:val="19"/>
              </w:rPr>
              <w:t>1. Deterministic SQL Compilation</w:t>
            </w:r>
          </w:p>
        </w:tc>
        <w:tc>
          <w:tcPr>
            <w:tcW w:type="dxa" w:w="3744"/>
            <w:shd w:fill="FFFFFF"/>
            <w:tcMar>
              <w:top w:w="100" w:type="dxa"/>
              <w:bottom w:w="100" w:type="dxa"/>
              <w:left w:w="120" w:type="dxa"/>
              <w:right w:w="120" w:type="dxa"/>
            </w:tcMar>
            <w:vAlign w:val="top"/>
          </w:tcPr>
          <w:p>
            <w:pPr>
              <w:spacing w:after="0" w:line="264" w:lineRule="auto"/>
            </w:pPr>
            <w:r>
              <w:rPr>
                <w:color w:val="282D37"/>
                <w:sz w:val="19"/>
              </w:rPr>
              <w:t>DataHub gives the LLM rich context (schemas, sample queries, docs), but the LLM still writes the SQL—risking hallucinated joins or filter bugs.</w:t>
            </w:r>
          </w:p>
        </w:tc>
        <w:tc>
          <w:tcPr>
            <w:tcW w:type="dxa" w:w="4032"/>
            <w:shd w:fill="FFFFFF"/>
            <w:tcMar>
              <w:top w:w="100" w:type="dxa"/>
              <w:bottom w:w="100" w:type="dxa"/>
              <w:left w:w="120" w:type="dxa"/>
              <w:right w:w="120" w:type="dxa"/>
            </w:tcMar>
            <w:vAlign w:val="top"/>
          </w:tcPr>
          <w:p>
            <w:pPr>
              <w:spacing w:after="0" w:line="264" w:lineRule="auto"/>
            </w:pPr>
            <w:r>
              <w:rPr>
                <w:color w:val="282D37"/>
                <w:sz w:val="19"/>
              </w:rPr>
              <w:t>Zero LLM-generated SQL. Sutura reads the certified metric AST from DataHub, exposes a strict parameter schema, and deterministically compiles SQL via DataFusion/polyglot.</w:t>
            </w:r>
          </w:p>
        </w:tc>
      </w:tr>
      <w:tr>
        <w:tc>
          <w:tcPr>
            <w:tcW w:type="dxa" w:w="2160"/>
            <w:shd w:fill="F9FBFD"/>
            <w:tcMar>
              <w:top w:w="100" w:type="dxa"/>
              <w:bottom w:w="100" w:type="dxa"/>
              <w:left w:w="120" w:type="dxa"/>
              <w:right w:w="120" w:type="dxa"/>
            </w:tcMar>
            <w:vAlign w:val="top"/>
          </w:tcPr>
          <w:p>
            <w:pPr>
              <w:spacing w:after="0" w:line="264" w:lineRule="auto"/>
            </w:pPr>
            <w:r>
              <w:rPr>
                <w:b/>
                <w:color w:val="0F2540"/>
                <w:sz w:val="19"/>
              </w:rPr>
              <w:t>2. Row-Level Security (RLS) &amp; Impersonation</w:t>
            </w:r>
          </w:p>
        </w:tc>
        <w:tc>
          <w:tcPr>
            <w:tcW w:type="dxa" w:w="3744"/>
            <w:shd w:fill="F9FBFD"/>
            <w:tcMar>
              <w:top w:w="100" w:type="dxa"/>
              <w:bottom w:w="100" w:type="dxa"/>
              <w:left w:w="120" w:type="dxa"/>
              <w:right w:w="120" w:type="dxa"/>
            </w:tcMar>
            <w:vAlign w:val="top"/>
          </w:tcPr>
          <w:p>
            <w:pPr>
              <w:spacing w:after="0" w:line="264" w:lineRule="auto"/>
            </w:pPr>
            <w:r>
              <w:rPr>
                <w:color w:val="282D37"/>
                <w:sz w:val="19"/>
              </w:rPr>
              <w:t>DataHub authorizes access to metadata and docs, not underlying database rows. Querying via an agent service account bypasses database RLS.</w:t>
            </w:r>
          </w:p>
        </w:tc>
        <w:tc>
          <w:tcPr>
            <w:tcW w:type="dxa" w:w="4032"/>
            <w:shd w:fill="F9FBFD"/>
            <w:tcMar>
              <w:top w:w="100" w:type="dxa"/>
              <w:bottom w:w="100" w:type="dxa"/>
              <w:left w:w="120" w:type="dxa"/>
              <w:right w:w="120" w:type="dxa"/>
            </w:tcMar>
            <w:vAlign w:val="top"/>
          </w:tcPr>
          <w:p>
            <w:pPr>
              <w:spacing w:after="0" w:line="264" w:lineRule="auto"/>
            </w:pPr>
            <w:r>
              <w:rPr>
                <w:color w:val="282D37"/>
                <w:sz w:val="19"/>
              </w:rPr>
              <w:t>End-to-End Caller Impersonation. Sutura takes the caller's OIDC JWT from the Gateway and impersonates that specific user inside BigQuery, ClickHouse, Oracle, or Cube.</w:t>
            </w:r>
          </w:p>
        </w:tc>
      </w:tr>
      <w:tr>
        <w:tc>
          <w:tcPr>
            <w:tcW w:type="dxa" w:w="2160"/>
            <w:shd w:fill="FFFFFF"/>
            <w:tcMar>
              <w:top w:w="100" w:type="dxa"/>
              <w:bottom w:w="100" w:type="dxa"/>
              <w:left w:w="120" w:type="dxa"/>
              <w:right w:w="120" w:type="dxa"/>
            </w:tcMar>
            <w:vAlign w:val="top"/>
          </w:tcPr>
          <w:p>
            <w:pPr>
              <w:spacing w:after="0" w:line="264" w:lineRule="auto"/>
            </w:pPr>
            <w:r>
              <w:rPr>
                <w:b/>
                <w:color w:val="0F2540"/>
                <w:sz w:val="19"/>
              </w:rPr>
              <w:t>3. Cross-Database Query Federation</w:t>
            </w:r>
          </w:p>
        </w:tc>
        <w:tc>
          <w:tcPr>
            <w:tcW w:type="dxa" w:w="3744"/>
            <w:shd w:fill="FFFFFF"/>
            <w:tcMar>
              <w:top w:w="100" w:type="dxa"/>
              <w:bottom w:w="100" w:type="dxa"/>
              <w:left w:w="120" w:type="dxa"/>
              <w:right w:w="120" w:type="dxa"/>
            </w:tcMar>
            <w:vAlign w:val="top"/>
          </w:tcPr>
          <w:p>
            <w:pPr>
              <w:spacing w:after="0" w:line="264" w:lineRule="auto"/>
            </w:pPr>
            <w:r>
              <w:rPr>
                <w:color w:val="282D37"/>
                <w:sz w:val="19"/>
              </w:rPr>
              <w:t>DataHub knows Table A is in Oracle and Table B is in BigQuery, and informs the agent, but cannot execute a federated join across them.</w:t>
            </w:r>
          </w:p>
        </w:tc>
        <w:tc>
          <w:tcPr>
            <w:tcW w:type="dxa" w:w="4032"/>
            <w:shd w:fill="FFFFFF"/>
            <w:tcMar>
              <w:top w:w="100" w:type="dxa"/>
              <w:bottom w:w="100" w:type="dxa"/>
              <w:left w:w="120" w:type="dxa"/>
              <w:right w:w="120" w:type="dxa"/>
            </w:tcMar>
            <w:vAlign w:val="top"/>
          </w:tcPr>
          <w:p>
            <w:pPr>
              <w:spacing w:after="0" w:line="264" w:lineRule="auto"/>
            </w:pPr>
            <w:r>
              <w:rPr>
                <w:color w:val="282D37"/>
                <w:sz w:val="19"/>
              </w:rPr>
              <w:t>Built-in Federation. Running on Apache DataFusion + Arrow ADBC, Sutura executes federated joins across disparate engines while checking caller identity on every leg.</w:t>
            </w:r>
          </w:p>
        </w:tc>
      </w:tr>
      <w:tr>
        <w:tc>
          <w:tcPr>
            <w:tcW w:type="dxa" w:w="2160"/>
            <w:shd w:fill="F9FBFD"/>
            <w:tcMar>
              <w:top w:w="100" w:type="dxa"/>
              <w:bottom w:w="100" w:type="dxa"/>
              <w:left w:w="120" w:type="dxa"/>
              <w:right w:w="120" w:type="dxa"/>
            </w:tcMar>
            <w:vAlign w:val="top"/>
          </w:tcPr>
          <w:p>
            <w:pPr>
              <w:spacing w:after="0" w:line="264" w:lineRule="auto"/>
            </w:pPr>
            <w:r>
              <w:rPr>
                <w:b/>
                <w:color w:val="0F2540"/>
                <w:sz w:val="19"/>
              </w:rPr>
              <w:t>4. High-Volume Unstructured Domain RAG</w:t>
            </w:r>
          </w:p>
        </w:tc>
        <w:tc>
          <w:tcPr>
            <w:tcW w:type="dxa" w:w="3744"/>
            <w:shd w:fill="F9FBFD"/>
            <w:tcMar>
              <w:top w:w="100" w:type="dxa"/>
              <w:bottom w:w="100" w:type="dxa"/>
              <w:left w:w="120" w:type="dxa"/>
              <w:right w:w="120" w:type="dxa"/>
            </w:tcMar>
            <w:vAlign w:val="top"/>
          </w:tcPr>
          <w:p>
            <w:pPr>
              <w:spacing w:after="0" w:line="264" w:lineRule="auto"/>
            </w:pPr>
            <w:r>
              <w:rPr>
                <w:color w:val="282D37"/>
                <w:sz w:val="19"/>
              </w:rPr>
              <w:t>Embeds data-adjacent docs (glossaries, runbooks, SOPs). Not meant to be a vector DB for millions of customer PDFs or call transcripts.</w:t>
            </w:r>
          </w:p>
        </w:tc>
        <w:tc>
          <w:tcPr>
            <w:tcW w:type="dxa" w:w="4032"/>
            <w:shd w:fill="F9FBFD"/>
            <w:tcMar>
              <w:top w:w="100" w:type="dxa"/>
              <w:bottom w:w="100" w:type="dxa"/>
              <w:left w:w="120" w:type="dxa"/>
              <w:right w:w="120" w:type="dxa"/>
            </w:tcMar>
            <w:vAlign w:val="top"/>
          </w:tcPr>
          <w:p>
            <w:pPr>
              <w:spacing w:after="0" w:line="264" w:lineRule="auto"/>
            </w:pPr>
            <w:r>
              <w:rPr>
                <w:color w:val="282D37"/>
                <w:sz w:val="19"/>
              </w:rPr>
              <w:t>Paired with Telekom's sister open-source RAG framework Wurzel (telekom/wurzel) + Qdrant/Milvus/PGVector for high-volume unstructured document pipelines.</w:t>
            </w:r>
          </w:p>
        </w:tc>
      </w:tr>
    </w:tbl>
    <w:p>
      <w:pPr>
        <w:spacing w:after="80"/>
      </w:pPr>
    </w:p>
    <w:p>
      <w:pPr>
        <w:keepNext/>
        <w:spacing w:before="360" w:after="120"/>
        <w:pBdr>
          <w:bottom w:val="single" w:sz="12" w:space="4" w:color="008080"/>
        </w:pBdr>
      </w:pPr>
      <w:r>
        <w:rPr>
          <w:rFonts w:ascii="Calibri" w:hAnsi="Calibri"/>
          <w:b/>
          <w:color w:val="008080"/>
          <w:sz w:val="30"/>
        </w:rPr>
        <w:t xml:space="preserve">04  </w:t>
      </w:r>
      <w:r>
        <w:rPr>
          <w:rFonts w:ascii="Calibri" w:hAnsi="Calibri"/>
          <w:b/>
          <w:color w:val="0F2540"/>
          <w:sz w:val="30"/>
        </w:rPr>
        <w:t>Deep Dive: What 'Strictly Designed for Structured/Analytical Data &amp; Semantic Metrics' Means</w:t>
      </w:r>
    </w:p>
    <w:p>
      <w:r>
        <w:t>Saying that Sutura is 'strictly designed for structured/analytical data and semantic metrics' defines both the physical data formats Sutura can read and the exact grammatical contract an AI agent must follow when asking questions. It breaks down into three concrete technical pillars:</w:t>
      </w:r>
    </w:p>
    <w:p>
      <w:pPr>
        <w:keepNext/>
        <w:spacing w:before="240" w:after="80"/>
      </w:pPr>
      <w:r>
        <w:rPr>
          <w:rFonts w:ascii="Calibri" w:hAnsi="Calibri"/>
          <w:b/>
          <w:color w:val="0F2540"/>
          <w:sz w:val="24"/>
        </w:rPr>
        <w:t>Pillar 1: 'Structured Data' — It Only Speaks Rows, Columns, and Strict Schemas</w:t>
      </w:r>
    </w:p>
    <w:p>
      <w:r>
        <w:t>Under the hood, Sutura's execution engine is built on Apache DataFusion and Apache Arrow ADBC:</w:t>
      </w:r>
    </w:p>
    <w:p>
      <w:pPr>
        <w:pStyle w:val="ListBullet"/>
        <w:spacing w:before="40" w:after="80" w:line="276" w:lineRule="auto"/>
      </w:pPr>
      <w:r>
        <w:rPr>
          <w:b/>
          <w:color w:val="0F2540"/>
        </w:rPr>
        <w:t xml:space="preserve">What Sutura CAN Read: </w:t>
      </w:r>
      <w:r>
        <w:rPr>
          <w:color w:val="282D37"/>
        </w:rPr>
        <w:t>Relational databases (PostgreSQL, Oracle), cloud OLAP warehouses (BigQuery, ClickHouse, DuckDB), semantic cubes (Cube), and structured columnar/tabular files (Parquet, CSV). Every data source must have an explicit tabular schema (e.g., `customer_id INT`, `billing_amount DECIMAL`, `signup_date DATE`).</w:t>
      </w:r>
    </w:p>
    <w:p>
      <w:pPr>
        <w:pStyle w:val="ListBullet"/>
        <w:spacing w:before="40" w:after="80" w:line="276" w:lineRule="auto"/>
      </w:pPr>
      <w:r>
        <w:rPr>
          <w:b/>
          <w:color w:val="0F2540"/>
        </w:rPr>
        <w:t xml:space="preserve">What Sutura CANNOT Read: </w:t>
      </w:r>
      <w:r>
        <w:rPr>
          <w:color w:val="282D37"/>
        </w:rPr>
        <w:t>Unstructured files such as PDF contracts, Word documents, Confluence wikis, customer support emails, or audio transcripts. Sutura has no document parser, no text chunker, no embedding model, and no vector similarity search (`cosine_similarity` / k-NN). For unstructured ETL and vector RAG, Deutsche Telekom created its sister open-source project, Wurzel (`telekom/wurzel`).</w:t>
      </w:r>
    </w:p>
    <w:p>
      <w:pPr>
        <w:keepNext/>
        <w:spacing w:before="240" w:after="80"/>
      </w:pPr>
      <w:r>
        <w:rPr>
          <w:rFonts w:ascii="Calibri" w:hAnsi="Calibri"/>
          <w:b/>
          <w:color w:val="0F2540"/>
          <w:sz w:val="24"/>
        </w:rPr>
        <w:t>Pillar 2: 'Analytical Data (OLAP)' — Aggregations &amp; Rollups, Not Point Lookups or Text Search</w:t>
      </w:r>
    </w:p>
    <w:p>
      <w:r>
        <w:t>Even within structured databases, there is a major divide between transactional/record lookups ('Fetch the raw JSON log for order #94821') and analytical OLAP queries ('What was the average order value and net churn rate across EMEA in Q3 compared to Q2?'). Sutura is purpose-built for the analytical category—compiling high-level business questions into `GROUP BY` aggregations, multi-table star-schema joins, and dimensional rollups.</w:t>
      </w:r>
    </w:p>
    <w:p>
      <w:pPr>
        <w:keepNext/>
        <w:spacing w:before="240" w:after="80"/>
      </w:pPr>
      <w:r>
        <w:rPr>
          <w:rFonts w:ascii="Calibri" w:hAnsi="Calibri"/>
          <w:b/>
          <w:color w:val="0F2540"/>
          <w:sz w:val="24"/>
        </w:rPr>
        <w:t>Pillar 3: 'Semantic Metrics' — Agents Query Pre-Certified Business Logic, Never Raw Tables</w:t>
      </w:r>
    </w:p>
    <w:p>
      <w:r>
        <w:t>This is Sutura's most important security and accuracy guarantee. In a traditional Text-to-SQL MCP server, an AI agent inspects raw tables (`tbl_invoices`, `tbl_credit_memos`, `tbl_users`) and guesses the SQL math on the fly—frequently forgetting to subtract credit memos or exclude internal test accounts.</w:t>
      </w:r>
    </w:p>
    <w:p>
      <w:r>
        <w:t>In Sutura, the agent is forbidden from writing SQL or referencing raw tables. Instead, a finance or data owner pre-defines a Certified Semantic Metric in DataHub (or Cube / Wren / DataContract) where the complex join and filter math (`SUM(invoices.amount) - SUM(credit_memos.refund_amount) WHERE users.is_test_account = FALSE`) is locked inside the catalog definition.</w:t>
      </w:r>
    </w:p>
    <w:tbl>
      <w:tblPr>
        <w:tblW w:type="auto" w:w="0"/>
        <w:jc w:val="center"/>
        <w:tblLook w:firstColumn="1" w:firstRow="1" w:lastColumn="0" w:lastRow="0" w:noHBand="0" w:noVBand="1" w:val="04A0"/>
      </w:tblPr>
      <w:tblGrid>
        <w:gridCol w:w="9936"/>
      </w:tblGrid>
      <w:tr>
        <w:tc>
          <w:tcPr>
            <w:tcW w:type="dxa" w:w="9936"/>
            <w:shd w:fill="F1F4F8"/>
            <w:tcMar>
              <w:top w:w="100" w:type="dxa"/>
              <w:bottom w:w="100" w:type="dxa"/>
              <w:left w:w="140" w:type="dxa"/>
              <w:right w:w="140" w:type="dxa"/>
            </w:tcMar>
            <w:tcBorders>
              <w:left w:val="single" w:sz="12" w:space="0" w:color="0F2540"/>
              <w:top w:val="single" w:sz="4" w:space="0" w:color="D1D9E6"/>
              <w:right w:val="single" w:sz="4" w:space="0" w:color="D1D9E6"/>
              <w:bottom w:val="single" w:sz="4" w:space="0" w:color="D1D9E6"/>
            </w:tcBorders>
          </w:tcPr>
          <w:p>
            <w:pPr>
              <w:spacing w:after="40"/>
            </w:pPr>
            <w:r>
              <w:rPr>
                <w:rFonts w:ascii="Calibri" w:hAnsi="Calibri"/>
                <w:b/>
                <w:color w:val="008080"/>
                <w:sz w:val="18"/>
              </w:rPr>
              <w:t>CONTRAST: Raw LLM SQL (Forbidden in Sutura) vs. Sutura Semantic MCP Request (Allowed)</w:t>
              <w:br/>
            </w:r>
            <w:r>
              <w:rPr>
                <w:rFonts w:ascii="Consolas" w:hAnsi="Consolas"/>
                <w:color w:val="0F2540"/>
                <w:sz w:val="18"/>
              </w:rPr>
              <w:t>-- 1. TRADITIONAL TEXT-TO-SQL AGENT (Prone to hallucination &amp; SQL injection - REFUSED BY SUTURA):</w:t>
              <w:br/>
              <w:t>SELECT SUM(amount) FROM tbl_invoices WHERE status = 'paid' AND quarter = '2026-Q3';</w:t>
              <w:br/>
              <w:br/>
              <w:t>// 2. SUTURA MCP SEMANTIC REQUEST (Deterministic, strictly typed, zero raw SQL):</w:t>
              <w:br/>
              <w:t>{</w:t>
              <w:br/>
              <w:t xml:space="preserve">  "metric": "certified_net_revenue",</w:t>
              <w:br/>
              <w:t xml:space="preserve">  "dimensions": ["region"],</w:t>
              <w:br/>
              <w:t xml:space="preserve">  "filters": [</w:t>
              <w:br/>
              <w:t xml:space="preserve">    {"field": "fiscal_quarter", "operator": "eq", "value": "2026-Q3"}</w:t>
              <w:br/>
              <w:t xml:space="preserve">  ]</w:t>
              <w:br/>
              <w:t>}</w:t>
            </w:r>
          </w:p>
        </w:tc>
      </w:tr>
    </w:tbl>
    <w:p>
      <w:pPr>
        <w:spacing w:before="0" w:after="80"/>
      </w:pPr>
    </w:p>
    <w:p>
      <w:pPr>
        <w:keepNext/>
        <w:spacing w:before="240" w:after="80"/>
      </w:pPr>
      <w:r>
        <w:rPr>
          <w:rFonts w:ascii="Calibri" w:hAnsi="Calibri"/>
          <w:b/>
          <w:color w:val="0F2540"/>
          <w:sz w:val="24"/>
        </w:rPr>
        <w:t>How an AI Agent Handles a Hybrid Question (Structured + Unstructured)</w:t>
      </w:r>
    </w:p>
    <w:p>
      <w:r>
        <w:t>Consider what happens when an executive asks your AI Agent a hybrid question that spans both worlds: "How much did our Enterprise Churn Rate increase in Q3, and what were the main complaints mentioned in customer exit interviews?"</w:t>
      </w:r>
    </w:p>
    <w:tbl>
      <w:tblPr>
        <w:tblW w:type="auto" w:w="0"/>
        <w:jc w:val="center"/>
        <w:tblLook w:firstColumn="1" w:firstRow="1" w:lastColumn="0" w:lastRow="0" w:noHBand="0" w:noVBand="1" w:val="04A0"/>
        <w:tblBorders>
          <w:top w:val="single" w:sz="6" w:space="0" w:color="D1D9E6"/>
          <w:bottom w:val="single" w:sz="8" w:space="0" w:color="0F2540"/>
          <w:insideH w:val="single" w:sz="4" w:space="0" w:color="D1D9E6"/>
          <w:left w:val="none"/>
          <w:right w:val="none"/>
          <w:insideV w:val="none"/>
        </w:tblBorders>
      </w:tblPr>
      <w:tblGrid>
        <w:gridCol w:w="2484"/>
        <w:gridCol w:w="2484"/>
        <w:gridCol w:w="2484"/>
        <w:gridCol w:w="2484"/>
      </w:tblGrid>
      <w:tr>
        <w:tc>
          <w:tcPr>
            <w:tcW w:type="dxa" w:w="2304"/>
            <w:shd w:fill="0F2540"/>
            <w:tcMar>
              <w:top w:w="120" w:type="dxa"/>
              <w:bottom w:w="120" w:type="dxa"/>
              <w:left w:w="120" w:type="dxa"/>
              <w:right w:w="120" w:type="dxa"/>
            </w:tcMar>
            <w:vAlign w:val="center"/>
          </w:tcPr>
          <w:p>
            <w:pPr>
              <w:spacing w:after="0"/>
            </w:pPr>
            <w:r>
              <w:rPr>
                <w:b/>
                <w:color w:val="FFFFFF"/>
                <w:sz w:val="19"/>
              </w:rPr>
              <w:t>Part of the User Question</w:t>
            </w:r>
          </w:p>
        </w:tc>
        <w:tc>
          <w:tcPr>
            <w:tcW w:type="dxa" w:w="1872"/>
            <w:shd w:fill="0F2540"/>
            <w:tcMar>
              <w:top w:w="120" w:type="dxa"/>
              <w:bottom w:w="120" w:type="dxa"/>
              <w:left w:w="120" w:type="dxa"/>
              <w:right w:w="120" w:type="dxa"/>
            </w:tcMar>
            <w:vAlign w:val="center"/>
          </w:tcPr>
          <w:p>
            <w:pPr>
              <w:spacing w:after="0"/>
            </w:pPr>
            <w:r>
              <w:rPr>
                <w:b/>
                <w:color w:val="FFFFFF"/>
                <w:sz w:val="19"/>
              </w:rPr>
              <w:t>Data Modality</w:t>
            </w:r>
          </w:p>
        </w:tc>
        <w:tc>
          <w:tcPr>
            <w:tcW w:type="dxa" w:w="2304"/>
            <w:shd w:fill="0F2540"/>
            <w:tcMar>
              <w:top w:w="120" w:type="dxa"/>
              <w:bottom w:w="120" w:type="dxa"/>
              <w:left w:w="120" w:type="dxa"/>
              <w:right w:w="120" w:type="dxa"/>
            </w:tcMar>
            <w:vAlign w:val="center"/>
          </w:tcPr>
          <w:p>
            <w:pPr>
              <w:spacing w:after="0"/>
            </w:pPr>
            <w:r>
              <w:rPr>
                <w:b/>
                <w:color w:val="FFFFFF"/>
                <w:sz w:val="19"/>
              </w:rPr>
              <w:t>MCP Tool Called by Agent</w:t>
            </w:r>
          </w:p>
        </w:tc>
        <w:tc>
          <w:tcPr>
            <w:tcW w:type="dxa" w:w="3456"/>
            <w:shd w:fill="0F2540"/>
            <w:tcMar>
              <w:top w:w="120" w:type="dxa"/>
              <w:bottom w:w="120" w:type="dxa"/>
              <w:left w:w="120" w:type="dxa"/>
              <w:right w:w="120" w:type="dxa"/>
            </w:tcMar>
            <w:vAlign w:val="center"/>
          </w:tcPr>
          <w:p>
            <w:pPr>
              <w:spacing w:after="0"/>
            </w:pPr>
            <w:r>
              <w:rPr>
                <w:b/>
                <w:color w:val="FFFFFF"/>
                <w:sz w:val="19"/>
              </w:rPr>
              <w:t>What Happens Under the Hood</w:t>
            </w:r>
          </w:p>
        </w:tc>
      </w:tr>
      <w:tr>
        <w:tc>
          <w:tcPr>
            <w:tcW w:type="dxa" w:w="2304"/>
            <w:shd w:fill="FFFFFF"/>
            <w:tcMar>
              <w:top w:w="100" w:type="dxa"/>
              <w:bottom w:w="100" w:type="dxa"/>
              <w:left w:w="120" w:type="dxa"/>
              <w:right w:w="120" w:type="dxa"/>
            </w:tcMar>
            <w:vAlign w:val="top"/>
          </w:tcPr>
          <w:p>
            <w:pPr>
              <w:spacing w:after="0" w:line="264" w:lineRule="auto"/>
            </w:pPr>
            <w:r>
              <w:rPr>
                <w:b/>
                <w:color w:val="0F2540"/>
                <w:sz w:val="19"/>
              </w:rPr>
              <w:t>"How much did our Enterprise Churn Rate increase in Q3..."</w:t>
            </w:r>
          </w:p>
        </w:tc>
        <w:tc>
          <w:tcPr>
            <w:tcW w:type="dxa" w:w="1872"/>
            <w:shd w:fill="FFFFFF"/>
            <w:tcMar>
              <w:top w:w="100" w:type="dxa"/>
              <w:bottom w:w="100" w:type="dxa"/>
              <w:left w:w="120" w:type="dxa"/>
              <w:right w:w="120" w:type="dxa"/>
            </w:tcMar>
            <w:vAlign w:val="top"/>
          </w:tcPr>
          <w:p>
            <w:pPr>
              <w:spacing w:after="0" w:line="264" w:lineRule="auto"/>
            </w:pPr>
            <w:r>
              <w:rPr>
                <w:color w:val="282D37"/>
                <w:sz w:val="19"/>
              </w:rPr>
              <w:t>Structured Analytical &amp; Semantic Metric</w:t>
            </w:r>
          </w:p>
        </w:tc>
        <w:tc>
          <w:tcPr>
            <w:tcW w:type="dxa" w:w="2304"/>
            <w:shd w:fill="FFFFFF"/>
            <w:tcMar>
              <w:top w:w="100" w:type="dxa"/>
              <w:bottom w:w="100" w:type="dxa"/>
              <w:left w:w="120" w:type="dxa"/>
              <w:right w:w="120" w:type="dxa"/>
            </w:tcMar>
            <w:vAlign w:val="top"/>
          </w:tcPr>
          <w:p>
            <w:pPr>
              <w:spacing w:after="0" w:line="264" w:lineRule="auto"/>
            </w:pPr>
            <w:r>
              <w:rPr>
                <w:color w:val="282D37"/>
                <w:sz w:val="19"/>
              </w:rPr>
              <w:t>Sutura MCP Server</w:t>
            </w:r>
          </w:p>
        </w:tc>
        <w:tc>
          <w:tcPr>
            <w:tcW w:type="dxa" w:w="3456"/>
            <w:shd w:fill="FFFFFF"/>
            <w:tcMar>
              <w:top w:w="100" w:type="dxa"/>
              <w:bottom w:w="100" w:type="dxa"/>
              <w:left w:w="120" w:type="dxa"/>
              <w:right w:w="120" w:type="dxa"/>
            </w:tcMar>
            <w:vAlign w:val="top"/>
          </w:tcPr>
          <w:p>
            <w:pPr>
              <w:spacing w:after="0" w:line="264" w:lineRule="auto"/>
            </w:pPr>
            <w:r>
              <w:rPr>
                <w:color w:val="282D37"/>
                <w:sz w:val="19"/>
              </w:rPr>
              <w:t>Agent requests the certified `enterprise_churn_rate` metric sliced by `quarter = Q3`. Sutura compiles the exact SQL via DataFusion and executes it on BigQuery/Postgres using the user's Row-Level Security.</w:t>
            </w:r>
          </w:p>
        </w:tc>
      </w:tr>
      <w:tr>
        <w:tc>
          <w:tcPr>
            <w:tcW w:type="dxa" w:w="2304"/>
            <w:shd w:fill="F9FBFD"/>
            <w:tcMar>
              <w:top w:w="100" w:type="dxa"/>
              <w:bottom w:w="100" w:type="dxa"/>
              <w:left w:w="120" w:type="dxa"/>
              <w:right w:w="120" w:type="dxa"/>
            </w:tcMar>
            <w:vAlign w:val="top"/>
          </w:tcPr>
          <w:p>
            <w:pPr>
              <w:spacing w:after="0" w:line="264" w:lineRule="auto"/>
            </w:pPr>
            <w:r>
              <w:rPr>
                <w:b/>
                <w:color w:val="0F2540"/>
                <w:sz w:val="19"/>
              </w:rPr>
              <w:t>"...and what were the main complaints mentioned in customer exit interviews?"</w:t>
            </w:r>
          </w:p>
        </w:tc>
        <w:tc>
          <w:tcPr>
            <w:tcW w:type="dxa" w:w="1872"/>
            <w:shd w:fill="F9FBFD"/>
            <w:tcMar>
              <w:top w:w="100" w:type="dxa"/>
              <w:bottom w:w="100" w:type="dxa"/>
              <w:left w:w="120" w:type="dxa"/>
              <w:right w:w="120" w:type="dxa"/>
            </w:tcMar>
            <w:vAlign w:val="top"/>
          </w:tcPr>
          <w:p>
            <w:pPr>
              <w:spacing w:after="0" w:line="264" w:lineRule="auto"/>
            </w:pPr>
            <w:r>
              <w:rPr>
                <w:color w:val="282D37"/>
                <w:sz w:val="19"/>
              </w:rPr>
              <w:t>Unstructured Text (PDFs, Call Transcripts, Docs)</w:t>
            </w:r>
          </w:p>
        </w:tc>
        <w:tc>
          <w:tcPr>
            <w:tcW w:type="dxa" w:w="2304"/>
            <w:shd w:fill="F9FBFD"/>
            <w:tcMar>
              <w:top w:w="100" w:type="dxa"/>
              <w:bottom w:w="100" w:type="dxa"/>
              <w:left w:w="120" w:type="dxa"/>
              <w:right w:w="120" w:type="dxa"/>
            </w:tcMar>
            <w:vAlign w:val="top"/>
          </w:tcPr>
          <w:p>
            <w:pPr>
              <w:spacing w:after="0" w:line="264" w:lineRule="auto"/>
            </w:pPr>
            <w:r>
              <w:rPr>
                <w:color w:val="282D37"/>
                <w:sz w:val="19"/>
              </w:rPr>
              <w:t>Vector RAG MCP Server (e.g., Telekom Wurzel + Qdrant/PGVector or DataHub Context Docs)</w:t>
            </w:r>
          </w:p>
        </w:tc>
        <w:tc>
          <w:tcPr>
            <w:tcW w:type="dxa" w:w="3456"/>
            <w:shd w:fill="F9FBFD"/>
            <w:tcMar>
              <w:top w:w="100" w:type="dxa"/>
              <w:bottom w:w="100" w:type="dxa"/>
              <w:left w:w="120" w:type="dxa"/>
              <w:right w:w="120" w:type="dxa"/>
            </w:tcMar>
            <w:vAlign w:val="top"/>
          </w:tcPr>
          <w:p>
            <w:pPr>
              <w:spacing w:after="0" w:line="264" w:lineRule="auto"/>
            </w:pPr>
            <w:r>
              <w:rPr>
                <w:color w:val="282D37"/>
                <w:sz w:val="19"/>
              </w:rPr>
              <w:t>Converts 'main complaints exit interviews' into a vector embedding, performs similarity search across chunked interview PDFs, and returns relevant text passages for the LLM to synthesize.</w:t>
            </w:r>
          </w:p>
        </w:tc>
      </w:tr>
    </w:tbl>
    <w:p>
      <w:pPr>
        <w:spacing w:after="80"/>
      </w:pPr>
    </w:p>
    <w:tbl>
      <w:tblPr>
        <w:tblW w:type="auto" w:w="0"/>
        <w:jc w:val="center"/>
        <w:tblLook w:firstColumn="1" w:firstRow="1" w:lastColumn="0" w:lastRow="0" w:noHBand="0" w:noVBand="1" w:val="04A0"/>
      </w:tblPr>
      <w:tblGrid>
        <w:gridCol w:w="9936"/>
      </w:tblGrid>
      <w:tr>
        <w:tc>
          <w:tcPr>
            <w:tcW w:type="dxa" w:w="9936"/>
            <w:shd w:fill="EBF3F5"/>
            <w:tcMar>
              <w:top w:w="140" w:type="dxa"/>
              <w:bottom w:w="140" w:type="dxa"/>
              <w:left w:w="180" w:type="dxa"/>
              <w:right w:w="160" w:type="dxa"/>
            </w:tcMar>
            <w:tcBorders>
              <w:left w:val="single" w:sz="24" w:space="0" w:color="008080"/>
              <w:top w:val="none"/>
              <w:right w:val="none"/>
              <w:bottom w:val="none"/>
            </w:tcBorders>
          </w:tcPr>
          <w:p>
            <w:pPr>
              <w:spacing w:after="60"/>
            </w:pPr>
            <w:r>
              <w:rPr>
                <w:b/>
                <w:color w:val="0F2540"/>
                <w:sz w:val="21"/>
              </w:rPr>
              <w:t>Mental Model Summary</w:t>
              <w:br/>
            </w:r>
            <w:r>
              <w:rPr>
                <w:color w:val="282D37"/>
                <w:sz w:val="20"/>
              </w:rPr>
              <w:t>Sutura is your AI agent's governed calculator for tabular numbers, whereas Vector RAG pipelines (like Telekom Wurzel) and DataHub Context Documents are your agent's library for reading unstructured text.</w:t>
            </w:r>
          </w:p>
        </w:tc>
      </w:tr>
    </w:tbl>
    <w:p>
      <w:pPr>
        <w:spacing w:before="0" w:after="80"/>
      </w:pPr>
    </w:p>
    <w:p>
      <w:pPr>
        <w:keepNext/>
        <w:spacing w:before="360" w:after="120"/>
        <w:pBdr>
          <w:bottom w:val="single" w:sz="12" w:space="4" w:color="008080"/>
        </w:pBdr>
      </w:pPr>
      <w:r>
        <w:rPr>
          <w:rFonts w:ascii="Calibri" w:hAnsi="Calibri"/>
          <w:b/>
          <w:color w:val="008080"/>
          <w:sz w:val="30"/>
        </w:rPr>
        <w:t xml:space="preserve">05  </w:t>
      </w:r>
      <w:r>
        <w:rPr>
          <w:rFonts w:ascii="Calibri" w:hAnsi="Calibri"/>
          <w:b/>
          <w:color w:val="0F2540"/>
          <w:sz w:val="30"/>
        </w:rPr>
        <w:t>Can Sutura Solve Query Federation with DataHub SaaS? What Else Does It Solve?</w:t>
      </w:r>
    </w:p>
    <w:p>
      <w:r>
        <w:t>Yes. When connected to DataHub SaaS (Acryl Cloud), Sutura turns your metadata catalog into an active, federated semantic query engine while solving five major enterprise security challenges:</w:t>
      </w:r>
    </w:p>
    <w:p>
      <w:pPr>
        <w:keepNext/>
        <w:spacing w:before="240" w:after="80"/>
      </w:pPr>
      <w:r>
        <w:rPr>
          <w:rFonts w:ascii="Calibri" w:hAnsi="Calibri"/>
          <w:b/>
          <w:color w:val="0F2540"/>
          <w:sz w:val="24"/>
        </w:rPr>
        <w:t>How Sutura Executes Cross-Database Query Federation</w:t>
      </w:r>
    </w:p>
    <w:p>
      <w:pPr>
        <w:pStyle w:val="ListBullet"/>
        <w:spacing w:before="40" w:after="80" w:line="276" w:lineRule="auto"/>
      </w:pPr>
      <w:r>
        <w:rPr>
          <w:b/>
          <w:color w:val="0F2540"/>
        </w:rPr>
        <w:t xml:space="preserve">In-Process Apache DataFusion Engine: </w:t>
      </w:r>
      <w:r>
        <w:rPr>
          <w:color w:val="282D37"/>
        </w:rPr>
        <w:t>If a certified metric in DataHub SaaS joins Dimension Table A in PostgreSQL/Oracle with Fact Table B in BigQuery, ClickHouse, DuckDB, or S3 Parquet files, Sutura builds a unified DataFusion logical plan.</w:t>
      </w:r>
    </w:p>
    <w:p>
      <w:pPr>
        <w:pStyle w:val="ListBullet"/>
        <w:spacing w:before="40" w:after="80" w:line="276" w:lineRule="auto"/>
      </w:pPr>
      <w:r>
        <w:rPr>
          <w:b/>
          <w:color w:val="0F2540"/>
        </w:rPr>
        <w:t xml:space="preserve">Dialect Transpilation &amp; Arrow Streaming: </w:t>
      </w:r>
      <w:r>
        <w:rPr>
          <w:color w:val="282D37"/>
        </w:rPr>
        <w:t>Using `polyglot-sql`, Sutura pushes dialect-specific SQL subqueries down to each source database, streams intermediate tabular blocks back over Apache Arrow ADBC, and completes the federated join in memory.</w:t>
      </w:r>
    </w:p>
    <w:p>
      <w:pPr>
        <w:pStyle w:val="ListBullet"/>
        <w:spacing w:before="40" w:after="80" w:line="276" w:lineRule="auto"/>
      </w:pPr>
      <w:r>
        <w:rPr>
          <w:b/>
          <w:color w:val="0F2540"/>
        </w:rPr>
        <w:t xml:space="preserve">Multi-Leg Identity Verification: </w:t>
      </w:r>
      <w:r>
        <w:rPr>
          <w:color w:val="282D37"/>
        </w:rPr>
        <w:t>Unlike traditional query federation engines that use a single root credential across all databases, Sutura verifies caller permissions on EVERY leg of the federated query. If any single database leg cannot honor the caller's identity policy, Sutura refuses the entire federated query.</w:t>
      </w:r>
    </w:p>
    <w:p>
      <w:pPr>
        <w:keepNext/>
        <w:spacing w:before="240" w:after="80"/>
      </w:pPr>
      <w:r>
        <w:rPr>
          <w:rFonts w:ascii="Calibri" w:hAnsi="Calibri"/>
          <w:b/>
          <w:color w:val="0F2540"/>
          <w:sz w:val="24"/>
        </w:rPr>
        <w:t>Five Additional Enterprise Problems Solved by Sutura</w:t>
      </w:r>
    </w:p>
    <w:tbl>
      <w:tblPr>
        <w:tblW w:type="auto" w:w="0"/>
        <w:jc w:val="center"/>
        <w:tblLook w:firstColumn="1" w:firstRow="1" w:lastColumn="0" w:lastRow="0" w:noHBand="0" w:noVBand="1" w:val="04A0"/>
        <w:tblBorders>
          <w:top w:val="single" w:sz="6" w:space="0" w:color="D1D9E6"/>
          <w:bottom w:val="single" w:sz="8" w:space="0" w:color="0F2540"/>
          <w:insideH w:val="single" w:sz="4" w:space="0" w:color="D1D9E6"/>
          <w:left w:val="none"/>
          <w:right w:val="none"/>
          <w:insideV w:val="none"/>
        </w:tblBorders>
      </w:tblPr>
      <w:tblGrid>
        <w:gridCol w:w="3312"/>
        <w:gridCol w:w="3312"/>
        <w:gridCol w:w="3312"/>
      </w:tblGrid>
      <w:tr>
        <w:tc>
          <w:tcPr>
            <w:tcW w:type="dxa" w:w="2160"/>
            <w:shd w:fill="0F2540"/>
            <w:tcMar>
              <w:top w:w="120" w:type="dxa"/>
              <w:bottom w:w="120" w:type="dxa"/>
              <w:left w:w="120" w:type="dxa"/>
              <w:right w:w="120" w:type="dxa"/>
            </w:tcMar>
            <w:vAlign w:val="center"/>
          </w:tcPr>
          <w:p>
            <w:pPr>
              <w:spacing w:after="0"/>
            </w:pPr>
            <w:r>
              <w:rPr>
                <w:b/>
                <w:color w:val="FFFFFF"/>
                <w:sz w:val="19"/>
              </w:rPr>
              <w:t>Problem Domain</w:t>
            </w:r>
          </w:p>
        </w:tc>
        <w:tc>
          <w:tcPr>
            <w:tcW w:type="dxa" w:w="3600"/>
            <w:shd w:fill="0F2540"/>
            <w:tcMar>
              <w:top w:w="120" w:type="dxa"/>
              <w:bottom w:w="120" w:type="dxa"/>
              <w:left w:w="120" w:type="dxa"/>
              <w:right w:w="120" w:type="dxa"/>
            </w:tcMar>
            <w:vAlign w:val="center"/>
          </w:tcPr>
          <w:p>
            <w:pPr>
              <w:spacing w:after="0"/>
            </w:pPr>
            <w:r>
              <w:rPr>
                <w:b/>
                <w:color w:val="FFFFFF"/>
                <w:sz w:val="19"/>
              </w:rPr>
              <w:t>Traditional Agent / BI Failure Mode</w:t>
            </w:r>
          </w:p>
        </w:tc>
        <w:tc>
          <w:tcPr>
            <w:tcW w:type="dxa" w:w="4176"/>
            <w:shd w:fill="0F2540"/>
            <w:tcMar>
              <w:top w:w="120" w:type="dxa"/>
              <w:bottom w:w="120" w:type="dxa"/>
              <w:left w:w="120" w:type="dxa"/>
              <w:right w:w="120" w:type="dxa"/>
            </w:tcMar>
            <w:vAlign w:val="center"/>
          </w:tcPr>
          <w:p>
            <w:pPr>
              <w:spacing w:after="0"/>
            </w:pPr>
            <w:r>
              <w:rPr>
                <w:b/>
                <w:color w:val="FFFFFF"/>
                <w:sz w:val="19"/>
              </w:rPr>
              <w:t>How Sutura Solves It</w:t>
            </w:r>
          </w:p>
        </w:tc>
      </w:tr>
      <w:tr>
        <w:tc>
          <w:tcPr>
            <w:tcW w:type="dxa" w:w="2160"/>
            <w:shd w:fill="FFFFFF"/>
            <w:tcMar>
              <w:top w:w="100" w:type="dxa"/>
              <w:bottom w:w="100" w:type="dxa"/>
              <w:left w:w="120" w:type="dxa"/>
              <w:right w:w="120" w:type="dxa"/>
            </w:tcMar>
            <w:vAlign w:val="top"/>
          </w:tcPr>
          <w:p>
            <w:pPr>
              <w:spacing w:after="0" w:line="264" w:lineRule="auto"/>
            </w:pPr>
            <w:r>
              <w:rPr>
                <w:b/>
                <w:color w:val="0F2540"/>
                <w:sz w:val="19"/>
              </w:rPr>
              <w:t>1. LLM SQL Hallucination &amp; Injection</w:t>
            </w:r>
          </w:p>
        </w:tc>
        <w:tc>
          <w:tcPr>
            <w:tcW w:type="dxa" w:w="3600"/>
            <w:shd w:fill="FFFFFF"/>
            <w:tcMar>
              <w:top w:w="100" w:type="dxa"/>
              <w:bottom w:w="100" w:type="dxa"/>
              <w:left w:w="120" w:type="dxa"/>
              <w:right w:w="120" w:type="dxa"/>
            </w:tcMar>
            <w:vAlign w:val="top"/>
          </w:tcPr>
          <w:p>
            <w:pPr>
              <w:spacing w:after="0" w:line="264" w:lineRule="auto"/>
            </w:pPr>
            <w:r>
              <w:rPr>
                <w:color w:val="282D37"/>
                <w:sz w:val="19"/>
              </w:rPr>
              <w:t>Agents given Text-to-SQL tools hallucinate table joins, invent filter logic, or miscalculate finance metrics.</w:t>
            </w:r>
          </w:p>
        </w:tc>
        <w:tc>
          <w:tcPr>
            <w:tcW w:type="dxa" w:w="4176"/>
            <w:shd w:fill="FFFFFF"/>
            <w:tcMar>
              <w:top w:w="100" w:type="dxa"/>
              <w:bottom w:w="100" w:type="dxa"/>
              <w:left w:w="120" w:type="dxa"/>
              <w:right w:w="120" w:type="dxa"/>
            </w:tcMar>
            <w:vAlign w:val="top"/>
          </w:tcPr>
          <w:p>
            <w:pPr>
              <w:spacing w:after="0" w:line="264" w:lineRule="auto"/>
            </w:pPr>
            <w:r>
              <w:rPr>
                <w:color w:val="282D37"/>
                <w:sz w:val="19"/>
              </w:rPr>
              <w:t>You cannot ask Sutura to run raw SQL. Its HTTP/MCP input schema has no field for SQL, table names, or raw WHERE clauses—only certified metric names, dimensions, and bind parameters.</w:t>
            </w:r>
          </w:p>
        </w:tc>
      </w:tr>
      <w:tr>
        <w:tc>
          <w:tcPr>
            <w:tcW w:type="dxa" w:w="2160"/>
            <w:shd w:fill="F9FBFD"/>
            <w:tcMar>
              <w:top w:w="100" w:type="dxa"/>
              <w:bottom w:w="100" w:type="dxa"/>
              <w:left w:w="120" w:type="dxa"/>
              <w:right w:w="120" w:type="dxa"/>
            </w:tcMar>
            <w:vAlign w:val="top"/>
          </w:tcPr>
          <w:p>
            <w:pPr>
              <w:spacing w:after="0" w:line="264" w:lineRule="auto"/>
            </w:pPr>
            <w:r>
              <w:rPr>
                <w:b/>
                <w:color w:val="0F2540"/>
                <w:sz w:val="19"/>
              </w:rPr>
              <w:t>2. The Shared Service Account RLS Bypass</w:t>
            </w:r>
          </w:p>
        </w:tc>
        <w:tc>
          <w:tcPr>
            <w:tcW w:type="dxa" w:w="3600"/>
            <w:shd w:fill="F9FBFD"/>
            <w:tcMar>
              <w:top w:w="100" w:type="dxa"/>
              <w:bottom w:w="100" w:type="dxa"/>
              <w:left w:w="120" w:type="dxa"/>
              <w:right w:w="120" w:type="dxa"/>
            </w:tcMar>
            <w:vAlign w:val="top"/>
          </w:tcPr>
          <w:p>
            <w:pPr>
              <w:spacing w:after="0" w:line="264" w:lineRule="auto"/>
            </w:pPr>
            <w:r>
              <w:rPr>
                <w:color w:val="282D37"/>
                <w:sz w:val="19"/>
              </w:rPr>
              <w:t>Agents connect to warehouses using a single shared service account, bypassing Row-Level Security (RLS) and exposing restricted rows across tenants.</w:t>
            </w:r>
          </w:p>
        </w:tc>
        <w:tc>
          <w:tcPr>
            <w:tcW w:type="dxa" w:w="4176"/>
            <w:shd w:fill="F9FBFD"/>
            <w:tcMar>
              <w:top w:w="100" w:type="dxa"/>
              <w:bottom w:w="100" w:type="dxa"/>
              <w:left w:w="120" w:type="dxa"/>
              <w:right w:w="120" w:type="dxa"/>
            </w:tcMar>
            <w:vAlign w:val="top"/>
          </w:tcPr>
          <w:p>
            <w:pPr>
              <w:spacing w:after="0" w:line="264" w:lineRule="auto"/>
            </w:pPr>
            <w:r>
              <w:rPr>
                <w:color w:val="282D37"/>
                <w:sz w:val="19"/>
              </w:rPr>
              <w:t>Two-Leg Identity Propagation: Sutura verifies the caller's OIDC JWT (Leg 1) and executes the query AS the calling human (Leg 2) using native impersonation in BigQuery, ClickHouse, Oracle, and Cube.</w:t>
            </w:r>
          </w:p>
        </w:tc>
      </w:tr>
      <w:tr>
        <w:tc>
          <w:tcPr>
            <w:tcW w:type="dxa" w:w="2160"/>
            <w:shd w:fill="FFFFFF"/>
            <w:tcMar>
              <w:top w:w="100" w:type="dxa"/>
              <w:bottom w:w="100" w:type="dxa"/>
              <w:left w:w="120" w:type="dxa"/>
              <w:right w:w="120" w:type="dxa"/>
            </w:tcMar>
            <w:vAlign w:val="top"/>
          </w:tcPr>
          <w:p>
            <w:pPr>
              <w:spacing w:after="0" w:line="264" w:lineRule="auto"/>
            </w:pPr>
            <w:r>
              <w:rPr>
                <w:b/>
                <w:color w:val="0F2540"/>
                <w:sz w:val="19"/>
              </w:rPr>
              <w:t>3. Cross-User Cache Poisoning / Leakage</w:t>
            </w:r>
          </w:p>
        </w:tc>
        <w:tc>
          <w:tcPr>
            <w:tcW w:type="dxa" w:w="3600"/>
            <w:shd w:fill="FFFFFF"/>
            <w:tcMar>
              <w:top w:w="100" w:type="dxa"/>
              <w:bottom w:w="100" w:type="dxa"/>
              <w:left w:w="120" w:type="dxa"/>
              <w:right w:w="120" w:type="dxa"/>
            </w:tcMar>
            <w:vAlign w:val="top"/>
          </w:tcPr>
          <w:p>
            <w:pPr>
              <w:spacing w:after="0" w:line="264" w:lineRule="auto"/>
            </w:pPr>
            <w:r>
              <w:rPr>
                <w:color w:val="282D37"/>
                <w:sz w:val="19"/>
              </w:rPr>
              <w:t>Semantic layers or AI gateways cache query results keyed only by the question text, leaking User A's RLS-filtered rows to User B.</w:t>
            </w:r>
          </w:p>
        </w:tc>
        <w:tc>
          <w:tcPr>
            <w:tcW w:type="dxa" w:w="4176"/>
            <w:shd w:fill="FFFFFF"/>
            <w:tcMar>
              <w:top w:w="100" w:type="dxa"/>
              <w:bottom w:w="100" w:type="dxa"/>
              <w:left w:w="120" w:type="dxa"/>
              <w:right w:w="120" w:type="dxa"/>
            </w:tcMar>
            <w:vAlign w:val="top"/>
          </w:tcPr>
          <w:p>
            <w:pPr>
              <w:spacing w:after="0" w:line="264" w:lineRule="auto"/>
            </w:pPr>
            <w:r>
              <w:rPr>
                <w:color w:val="282D37"/>
                <w:sz w:val="19"/>
              </w:rPr>
              <w:t>Stateless Zero-Cache Guarantee: Sutura intentionally keeps zero internal result cache so row-level policies and dynamic column masking are evaluated fresh by the database on every call.</w:t>
            </w:r>
          </w:p>
        </w:tc>
      </w:tr>
      <w:tr>
        <w:tc>
          <w:tcPr>
            <w:tcW w:type="dxa" w:w="2160"/>
            <w:shd w:fill="F9FBFD"/>
            <w:tcMar>
              <w:top w:w="100" w:type="dxa"/>
              <w:bottom w:w="100" w:type="dxa"/>
              <w:left w:w="120" w:type="dxa"/>
              <w:right w:w="120" w:type="dxa"/>
            </w:tcMar>
            <w:vAlign w:val="top"/>
          </w:tcPr>
          <w:p>
            <w:pPr>
              <w:spacing w:after="0" w:line="264" w:lineRule="auto"/>
            </w:pPr>
            <w:r>
              <w:rPr>
                <w:b/>
                <w:color w:val="0F2540"/>
                <w:sz w:val="19"/>
              </w:rPr>
              <w:t>4. Prompt Injection via Live Catalog Edits</w:t>
            </w:r>
          </w:p>
        </w:tc>
        <w:tc>
          <w:tcPr>
            <w:tcW w:type="dxa" w:w="3600"/>
            <w:shd w:fill="F9FBFD"/>
            <w:tcMar>
              <w:top w:w="100" w:type="dxa"/>
              <w:bottom w:w="100" w:type="dxa"/>
              <w:left w:w="120" w:type="dxa"/>
              <w:right w:w="120" w:type="dxa"/>
            </w:tcMar>
            <w:vAlign w:val="top"/>
          </w:tcPr>
          <w:p>
            <w:pPr>
              <w:spacing w:after="0" w:line="264" w:lineRule="auto"/>
            </w:pPr>
            <w:r>
              <w:rPr>
                <w:color w:val="282D37"/>
                <w:sz w:val="19"/>
              </w:rPr>
              <w:t>If an attacker or errant script modifies a table description in the catalog at runtime, the LLM prompt gets poisoned immediately.</w:t>
            </w:r>
          </w:p>
        </w:tc>
        <w:tc>
          <w:tcPr>
            <w:tcW w:type="dxa" w:w="4176"/>
            <w:shd w:fill="F9FBFD"/>
            <w:tcMar>
              <w:top w:w="100" w:type="dxa"/>
              <w:bottom w:w="100" w:type="dxa"/>
              <w:left w:w="120" w:type="dxa"/>
              <w:right w:w="120" w:type="dxa"/>
            </w:tcMar>
            <w:vAlign w:val="top"/>
          </w:tcPr>
          <w:p>
            <w:pPr>
              <w:spacing w:after="0" w:line="264" w:lineRule="auto"/>
            </w:pPr>
            <w:r>
              <w:rPr>
                <w:color w:val="282D37"/>
                <w:sz w:val="19"/>
              </w:rPr>
              <w:t>Pinned Cryptographic Catalog Snapshots: Sutura loads definitions from DataHub SaaS out-of-band as a hashed, immutable snapshot and validates every anchor before serving traffic.</w:t>
            </w:r>
          </w:p>
        </w:tc>
      </w:tr>
      <w:tr>
        <w:tc>
          <w:tcPr>
            <w:tcW w:type="dxa" w:w="2160"/>
            <w:shd w:fill="FFFFFF"/>
            <w:tcMar>
              <w:top w:w="100" w:type="dxa"/>
              <w:bottom w:w="100" w:type="dxa"/>
              <w:left w:w="120" w:type="dxa"/>
              <w:right w:w="120" w:type="dxa"/>
            </w:tcMar>
            <w:vAlign w:val="top"/>
          </w:tcPr>
          <w:p>
            <w:pPr>
              <w:spacing w:after="0" w:line="264" w:lineRule="auto"/>
            </w:pPr>
            <w:r>
              <w:rPr>
                <w:b/>
                <w:color w:val="0F2540"/>
                <w:sz w:val="19"/>
              </w:rPr>
              <w:t>5. Infinite Agent Retry Loops &amp; Audit Gaps</w:t>
            </w:r>
          </w:p>
        </w:tc>
        <w:tc>
          <w:tcPr>
            <w:tcW w:type="dxa" w:w="3600"/>
            <w:shd w:fill="FFFFFF"/>
            <w:tcMar>
              <w:top w:w="100" w:type="dxa"/>
              <w:bottom w:w="100" w:type="dxa"/>
              <w:left w:w="120" w:type="dxa"/>
              <w:right w:w="120" w:type="dxa"/>
            </w:tcMar>
            <w:vAlign w:val="top"/>
          </w:tcPr>
          <w:p>
            <w:pPr>
              <w:spacing w:after="0" w:line="264" w:lineRule="auto"/>
            </w:pPr>
            <w:r>
              <w:rPr>
                <w:color w:val="282D37"/>
                <w:sz w:val="19"/>
              </w:rPr>
              <w:t>When a database query fails, agents blindly retry variations of broken SQL, burning tokens and cluttering logs without compliance traceability.</w:t>
            </w:r>
          </w:p>
        </w:tc>
        <w:tc>
          <w:tcPr>
            <w:tcW w:type="dxa" w:w="4176"/>
            <w:shd w:fill="FFFFFF"/>
            <w:tcMar>
              <w:top w:w="100" w:type="dxa"/>
              <w:bottom w:w="100" w:type="dxa"/>
              <w:left w:w="120" w:type="dxa"/>
              <w:right w:w="120" w:type="dxa"/>
            </w:tcMar>
            <w:vAlign w:val="top"/>
          </w:tcPr>
          <w:p>
            <w:pPr>
              <w:spacing w:after="0" w:line="264" w:lineRule="auto"/>
            </w:pPr>
            <w:r>
              <w:rPr>
                <w:color w:val="282D37"/>
                <w:sz w:val="19"/>
              </w:rPr>
              <w:t>Refusal as a First-Class Answer: Unauthorized or unmodeled questions return a structured refusal reason (stopping agent retries) and write synchronously to an immutable Audit Sink.</w:t>
            </w:r>
          </w:p>
        </w:tc>
      </w:tr>
    </w:tbl>
    <w:p>
      <w:pPr>
        <w:spacing w:after="80"/>
      </w:pPr>
    </w:p>
    <w:p>
      <w:pPr>
        <w:keepNext/>
        <w:spacing w:before="360" w:after="120"/>
        <w:pBdr>
          <w:bottom w:val="single" w:sz="12" w:space="4" w:color="008080"/>
        </w:pBdr>
      </w:pPr>
      <w:r>
        <w:rPr>
          <w:rFonts w:ascii="Calibri" w:hAnsi="Calibri"/>
          <w:b/>
          <w:color w:val="008080"/>
          <w:sz w:val="30"/>
        </w:rPr>
        <w:t xml:space="preserve">06  </w:t>
      </w:r>
      <w:r>
        <w:rPr>
          <w:rFonts w:ascii="Calibri" w:hAnsi="Calibri"/>
          <w:b/>
          <w:color w:val="0F2540"/>
          <w:sz w:val="30"/>
        </w:rPr>
        <w:t>Step-by-Step Sequence: DataHub MCP + Sutura MCP Behind an AI Gateway</w:t>
      </w:r>
    </w:p>
    <w:p>
      <w:r>
        <w:t>When an AI Agent operates behind an AI &amp; MCP Gateway (such as TrueFoundry, LiteLLM, or Kong) using both DataHub MCP and Sutura MCP, the request lifecycle follows six deterministic steps:</w:t>
      </w:r>
    </w:p>
    <w:tbl>
      <w:tblPr>
        <w:tblW w:type="auto" w:w="0"/>
        <w:jc w:val="center"/>
        <w:tblLook w:firstColumn="1" w:firstRow="1" w:lastColumn="0" w:lastRow="0" w:noHBand="0" w:noVBand="1" w:val="04A0"/>
        <w:tblBorders>
          <w:top w:val="single" w:sz="6" w:space="0" w:color="D1D9E6"/>
          <w:bottom w:val="single" w:sz="8" w:space="0" w:color="0F2540"/>
          <w:insideH w:val="single" w:sz="4" w:space="0" w:color="D1D9E6"/>
          <w:left w:val="none"/>
          <w:right w:val="none"/>
          <w:insideV w:val="none"/>
        </w:tblBorders>
      </w:tblPr>
      <w:tblGrid>
        <w:gridCol w:w="2484"/>
        <w:gridCol w:w="2484"/>
        <w:gridCol w:w="2484"/>
        <w:gridCol w:w="2484"/>
      </w:tblGrid>
      <w:tr>
        <w:tc>
          <w:tcPr>
            <w:tcW w:type="dxa" w:w="1944"/>
            <w:shd w:fill="0F2540"/>
            <w:tcMar>
              <w:top w:w="120" w:type="dxa"/>
              <w:bottom w:w="120" w:type="dxa"/>
              <w:left w:w="120" w:type="dxa"/>
              <w:right w:w="120" w:type="dxa"/>
            </w:tcMar>
            <w:vAlign w:val="center"/>
          </w:tcPr>
          <w:p>
            <w:pPr>
              <w:spacing w:after="0"/>
            </w:pPr>
            <w:r>
              <w:rPr>
                <w:b/>
                <w:color w:val="FFFFFF"/>
                <w:sz w:val="19"/>
              </w:rPr>
              <w:t>Phase / Step</w:t>
            </w:r>
          </w:p>
        </w:tc>
        <w:tc>
          <w:tcPr>
            <w:tcW w:type="dxa" w:w="1944"/>
            <w:shd w:fill="0F2540"/>
            <w:tcMar>
              <w:top w:w="120" w:type="dxa"/>
              <w:bottom w:w="120" w:type="dxa"/>
              <w:left w:w="120" w:type="dxa"/>
              <w:right w:w="120" w:type="dxa"/>
            </w:tcMar>
            <w:vAlign w:val="center"/>
          </w:tcPr>
          <w:p>
            <w:pPr>
              <w:spacing w:after="0"/>
            </w:pPr>
            <w:r>
              <w:rPr>
                <w:b/>
                <w:color w:val="FFFFFF"/>
                <w:sz w:val="19"/>
              </w:rPr>
              <w:t>Source -&gt; Target</w:t>
            </w:r>
          </w:p>
        </w:tc>
        <w:tc>
          <w:tcPr>
            <w:tcW w:type="dxa" w:w="2664"/>
            <w:shd w:fill="0F2540"/>
            <w:tcMar>
              <w:top w:w="120" w:type="dxa"/>
              <w:bottom w:w="120" w:type="dxa"/>
              <w:left w:w="120" w:type="dxa"/>
              <w:right w:w="120" w:type="dxa"/>
            </w:tcMar>
            <w:vAlign w:val="center"/>
          </w:tcPr>
          <w:p>
            <w:pPr>
              <w:spacing w:after="0"/>
            </w:pPr>
            <w:r>
              <w:rPr>
                <w:b/>
                <w:color w:val="FFFFFF"/>
                <w:sz w:val="19"/>
              </w:rPr>
              <w:t>Protocol &amp; Payload</w:t>
            </w:r>
          </w:p>
        </w:tc>
        <w:tc>
          <w:tcPr>
            <w:tcW w:type="dxa" w:w="3384"/>
            <w:shd w:fill="0F2540"/>
            <w:tcMar>
              <w:top w:w="120" w:type="dxa"/>
              <w:bottom w:w="120" w:type="dxa"/>
              <w:left w:w="120" w:type="dxa"/>
              <w:right w:w="120" w:type="dxa"/>
            </w:tcMar>
            <w:vAlign w:val="center"/>
          </w:tcPr>
          <w:p>
            <w:pPr>
              <w:spacing w:after="0"/>
            </w:pPr>
            <w:r>
              <w:rPr>
                <w:b/>
                <w:color w:val="FFFFFF"/>
                <w:sz w:val="19"/>
              </w:rPr>
              <w:t>Security &amp; Architectural Action</w:t>
            </w:r>
          </w:p>
        </w:tc>
      </w:tr>
      <w:tr>
        <w:tc>
          <w:tcPr>
            <w:tcW w:type="dxa" w:w="1944"/>
            <w:shd w:fill="FFFFFF"/>
            <w:tcMar>
              <w:top w:w="100" w:type="dxa"/>
              <w:bottom w:w="100" w:type="dxa"/>
              <w:left w:w="120" w:type="dxa"/>
              <w:right w:w="120" w:type="dxa"/>
            </w:tcMar>
            <w:vAlign w:val="top"/>
          </w:tcPr>
          <w:p>
            <w:pPr>
              <w:spacing w:after="0" w:line="264" w:lineRule="auto"/>
            </w:pPr>
            <w:r>
              <w:rPr>
                <w:b/>
                <w:color w:val="0F2540"/>
                <w:sz w:val="19"/>
              </w:rPr>
              <w:t>Step 1: Out-of-Band Catalog Pinning</w:t>
            </w:r>
          </w:p>
        </w:tc>
        <w:tc>
          <w:tcPr>
            <w:tcW w:type="dxa" w:w="1944"/>
            <w:shd w:fill="FFFFFF"/>
            <w:tcMar>
              <w:top w:w="100" w:type="dxa"/>
              <w:bottom w:w="100" w:type="dxa"/>
              <w:left w:w="120" w:type="dxa"/>
              <w:right w:w="120" w:type="dxa"/>
            </w:tcMar>
            <w:vAlign w:val="top"/>
          </w:tcPr>
          <w:p>
            <w:pPr>
              <w:spacing w:after="0" w:line="264" w:lineRule="auto"/>
            </w:pPr>
            <w:r>
              <w:rPr>
                <w:color w:val="282D37"/>
                <w:sz w:val="19"/>
              </w:rPr>
              <w:t>Sutura MCP -&gt; DataHub SaaS API</w:t>
            </w:r>
          </w:p>
        </w:tc>
        <w:tc>
          <w:tcPr>
            <w:tcW w:type="dxa" w:w="2664"/>
            <w:shd w:fill="FFFFFF"/>
            <w:tcMar>
              <w:top w:w="100" w:type="dxa"/>
              <w:bottom w:w="100" w:type="dxa"/>
              <w:left w:w="120" w:type="dxa"/>
              <w:right w:w="120" w:type="dxa"/>
            </w:tcMar>
            <w:vAlign w:val="top"/>
          </w:tcPr>
          <w:p>
            <w:pPr>
              <w:spacing w:after="0" w:line="264" w:lineRule="auto"/>
            </w:pPr>
            <w:r>
              <w:rPr>
                <w:color w:val="282D37"/>
                <w:sz w:val="19"/>
              </w:rPr>
              <w:t>HTTPS GraphQL / OpenAPI Snapshot Pull</w:t>
            </w:r>
          </w:p>
        </w:tc>
        <w:tc>
          <w:tcPr>
            <w:tcW w:type="dxa" w:w="3384"/>
            <w:shd w:fill="FFFFFF"/>
            <w:tcMar>
              <w:top w:w="100" w:type="dxa"/>
              <w:bottom w:w="100" w:type="dxa"/>
              <w:left w:w="120" w:type="dxa"/>
              <w:right w:w="120" w:type="dxa"/>
            </w:tcMar>
            <w:vAlign w:val="top"/>
          </w:tcPr>
          <w:p>
            <w:pPr>
              <w:spacing w:after="0" w:line="264" w:lineRule="auto"/>
            </w:pPr>
            <w:r>
              <w:rPr>
                <w:color w:val="282D37"/>
                <w:sz w:val="19"/>
              </w:rPr>
              <w:t>At startup/CI-CD (outside request context), Sutura pulls certified metric models (`finance.net_churn_mrr`), verifies anchors, and locks a cryptographically hashed snapshot.</w:t>
            </w:r>
          </w:p>
        </w:tc>
      </w:tr>
      <w:tr>
        <w:tc>
          <w:tcPr>
            <w:tcW w:type="dxa" w:w="1944"/>
            <w:shd w:fill="F9FBFD"/>
            <w:tcMar>
              <w:top w:w="100" w:type="dxa"/>
              <w:bottom w:w="100" w:type="dxa"/>
              <w:left w:w="120" w:type="dxa"/>
              <w:right w:w="120" w:type="dxa"/>
            </w:tcMar>
            <w:vAlign w:val="top"/>
          </w:tcPr>
          <w:p>
            <w:pPr>
              <w:spacing w:after="0" w:line="264" w:lineRule="auto"/>
            </w:pPr>
            <w:r>
              <w:rPr>
                <w:b/>
                <w:color w:val="0F2540"/>
                <w:sz w:val="19"/>
              </w:rPr>
              <w:t>Step 2: Unified Context Discovery</w:t>
            </w:r>
          </w:p>
        </w:tc>
        <w:tc>
          <w:tcPr>
            <w:tcW w:type="dxa" w:w="1944"/>
            <w:shd w:fill="F9FBFD"/>
            <w:tcMar>
              <w:top w:w="100" w:type="dxa"/>
              <w:bottom w:w="100" w:type="dxa"/>
              <w:left w:w="120" w:type="dxa"/>
              <w:right w:w="120" w:type="dxa"/>
            </w:tcMar>
            <w:vAlign w:val="top"/>
          </w:tcPr>
          <w:p>
            <w:pPr>
              <w:spacing w:after="0" w:line="264" w:lineRule="auto"/>
            </w:pPr>
            <w:r>
              <w:rPr>
                <w:color w:val="282D37"/>
                <w:sz w:val="19"/>
              </w:rPr>
              <w:t>Agent -&gt; AI Gateway -&gt; DataHub MCP</w:t>
            </w:r>
          </w:p>
        </w:tc>
        <w:tc>
          <w:tcPr>
            <w:tcW w:type="dxa" w:w="2664"/>
            <w:shd w:fill="F9FBFD"/>
            <w:tcMar>
              <w:top w:w="100" w:type="dxa"/>
              <w:bottom w:w="100" w:type="dxa"/>
              <w:left w:w="120" w:type="dxa"/>
              <w:right w:w="120" w:type="dxa"/>
            </w:tcMar>
            <w:vAlign w:val="top"/>
          </w:tcPr>
          <w:p>
            <w:pPr>
              <w:spacing w:after="0" w:line="264" w:lineRule="auto"/>
            </w:pPr>
            <w:r>
              <w:rPr>
                <w:color w:val="282D37"/>
                <w:sz w:val="19"/>
              </w:rPr>
              <w:t>MCP `search_context(query='Net Churn MRR paused subscriptions')`</w:t>
            </w:r>
          </w:p>
        </w:tc>
        <w:tc>
          <w:tcPr>
            <w:tcW w:type="dxa" w:w="3384"/>
            <w:shd w:fill="F9FBFD"/>
            <w:tcMar>
              <w:top w:w="100" w:type="dxa"/>
              <w:bottom w:w="100" w:type="dxa"/>
              <w:left w:w="120" w:type="dxa"/>
              <w:right w:w="120" w:type="dxa"/>
            </w:tcMar>
            <w:vAlign w:val="top"/>
          </w:tcPr>
          <w:p>
            <w:pPr>
              <w:spacing w:after="0" w:line="264" w:lineRule="auto"/>
            </w:pPr>
            <w:r>
              <w:rPr>
                <w:color w:val="282D37"/>
                <w:sz w:val="19"/>
              </w:rPr>
              <w:t>DataHub MCP returns (1) the unstructured Finance SOP document explaining the 60-day pause policy, and (2) the structured certified metric URN + valid dimensions.</w:t>
            </w:r>
          </w:p>
        </w:tc>
      </w:tr>
      <w:tr>
        <w:tc>
          <w:tcPr>
            <w:tcW w:type="dxa" w:w="1944"/>
            <w:shd w:fill="FFFFFF"/>
            <w:tcMar>
              <w:top w:w="100" w:type="dxa"/>
              <w:bottom w:w="100" w:type="dxa"/>
              <w:left w:w="120" w:type="dxa"/>
              <w:right w:w="120" w:type="dxa"/>
            </w:tcMar>
            <w:vAlign w:val="top"/>
          </w:tcPr>
          <w:p>
            <w:pPr>
              <w:spacing w:after="0" w:line="264" w:lineRule="auto"/>
            </w:pPr>
            <w:r>
              <w:rPr>
                <w:b/>
                <w:color w:val="0F2540"/>
                <w:sz w:val="19"/>
              </w:rPr>
              <w:t>Step 3: Zero-SQL Semantic Request &amp; Leg 1 Auth</w:t>
            </w:r>
          </w:p>
        </w:tc>
        <w:tc>
          <w:tcPr>
            <w:tcW w:type="dxa" w:w="1944"/>
            <w:shd w:fill="FFFFFF"/>
            <w:tcMar>
              <w:top w:w="100" w:type="dxa"/>
              <w:bottom w:w="100" w:type="dxa"/>
              <w:left w:w="120" w:type="dxa"/>
              <w:right w:w="120" w:type="dxa"/>
            </w:tcMar>
            <w:vAlign w:val="top"/>
          </w:tcPr>
          <w:p>
            <w:pPr>
              <w:spacing w:after="0" w:line="264" w:lineRule="auto"/>
            </w:pPr>
            <w:r>
              <w:rPr>
                <w:color w:val="282D37"/>
                <w:sz w:val="19"/>
              </w:rPr>
              <w:t>Agent -&gt; AI Gateway -&gt; Sutura MCP</w:t>
            </w:r>
          </w:p>
        </w:tc>
        <w:tc>
          <w:tcPr>
            <w:tcW w:type="dxa" w:w="2664"/>
            <w:shd w:fill="FFFFFF"/>
            <w:tcMar>
              <w:top w:w="100" w:type="dxa"/>
              <w:bottom w:w="100" w:type="dxa"/>
              <w:left w:w="120" w:type="dxa"/>
              <w:right w:w="120" w:type="dxa"/>
            </w:tcMar>
            <w:vAlign w:val="top"/>
          </w:tcPr>
          <w:p>
            <w:pPr>
              <w:spacing w:after="0" w:line="264" w:lineRule="auto"/>
            </w:pPr>
            <w:r>
              <w:rPr>
                <w:color w:val="282D37"/>
                <w:sz w:val="19"/>
              </w:rPr>
              <w:t>MCP `ask_metric` + Header `Authorization: Bearer &lt;alice_jwt&gt;` (`aud: sutura`)</w:t>
            </w:r>
          </w:p>
        </w:tc>
        <w:tc>
          <w:tcPr>
            <w:tcW w:type="dxa" w:w="3384"/>
            <w:shd w:fill="FFFFFF"/>
            <w:tcMar>
              <w:top w:w="100" w:type="dxa"/>
              <w:bottom w:w="100" w:type="dxa"/>
              <w:left w:w="120" w:type="dxa"/>
              <w:right w:w="120" w:type="dxa"/>
            </w:tcMar>
            <w:vAlign w:val="top"/>
          </w:tcPr>
          <w:p>
            <w:pPr>
              <w:spacing w:after="0" w:line="264" w:lineRule="auto"/>
            </w:pPr>
            <w:r>
              <w:rPr>
                <w:color w:val="282D37"/>
                <w:sz w:val="19"/>
              </w:rPr>
              <w:t>Agent passes strictly typed metric name, dimensions, and filter values. Sutura verifies Alice's JWT signature against OIDC JWKS (Leg 1 Identity).</w:t>
            </w:r>
          </w:p>
        </w:tc>
      </w:tr>
      <w:tr>
        <w:tc>
          <w:tcPr>
            <w:tcW w:type="dxa" w:w="1944"/>
            <w:shd w:fill="F9FBFD"/>
            <w:tcMar>
              <w:top w:w="100" w:type="dxa"/>
              <w:bottom w:w="100" w:type="dxa"/>
              <w:left w:w="120" w:type="dxa"/>
              <w:right w:w="120" w:type="dxa"/>
            </w:tcMar>
            <w:vAlign w:val="top"/>
          </w:tcPr>
          <w:p>
            <w:pPr>
              <w:spacing w:after="0" w:line="264" w:lineRule="auto"/>
            </w:pPr>
            <w:r>
              <w:rPr>
                <w:b/>
                <w:color w:val="0F2540"/>
                <w:sz w:val="19"/>
              </w:rPr>
              <w:t>Step 4: Guardrail Check &amp; Plan Compilation</w:t>
            </w:r>
          </w:p>
        </w:tc>
        <w:tc>
          <w:tcPr>
            <w:tcW w:type="dxa" w:w="1944"/>
            <w:shd w:fill="F9FBFD"/>
            <w:tcMar>
              <w:top w:w="100" w:type="dxa"/>
              <w:bottom w:w="100" w:type="dxa"/>
              <w:left w:w="120" w:type="dxa"/>
              <w:right w:w="120" w:type="dxa"/>
            </w:tcMar>
            <w:vAlign w:val="top"/>
          </w:tcPr>
          <w:p>
            <w:pPr>
              <w:spacing w:after="0" w:line="264" w:lineRule="auto"/>
            </w:pPr>
            <w:r>
              <w:rPr>
                <w:color w:val="282D37"/>
                <w:sz w:val="19"/>
              </w:rPr>
              <w:t>Sutura Internal Engine (DataFusion + polyglot)</w:t>
            </w:r>
          </w:p>
        </w:tc>
        <w:tc>
          <w:tcPr>
            <w:tcW w:type="dxa" w:w="2664"/>
            <w:shd w:fill="F9FBFD"/>
            <w:tcMar>
              <w:top w:w="100" w:type="dxa"/>
              <w:bottom w:w="100" w:type="dxa"/>
              <w:left w:w="120" w:type="dxa"/>
              <w:right w:w="120" w:type="dxa"/>
            </w:tcMar>
            <w:vAlign w:val="top"/>
          </w:tcPr>
          <w:p>
            <w:pPr>
              <w:spacing w:after="0" w:line="264" w:lineRule="auto"/>
            </w:pPr>
            <w:r>
              <w:rPr>
                <w:color w:val="282D37"/>
                <w:sz w:val="19"/>
              </w:rPr>
              <w:t>AST Validation -&gt; DataFusion Logical Plan -&gt; Dialect SQL (`$1` bind param)</w:t>
            </w:r>
          </w:p>
        </w:tc>
        <w:tc>
          <w:tcPr>
            <w:tcW w:type="dxa" w:w="3384"/>
            <w:shd w:fill="F9FBFD"/>
            <w:tcMar>
              <w:top w:w="100" w:type="dxa"/>
              <w:bottom w:w="100" w:type="dxa"/>
              <w:left w:w="120" w:type="dxa"/>
              <w:right w:w="120" w:type="dxa"/>
            </w:tcMar>
            <w:vAlign w:val="top"/>
          </w:tcPr>
          <w:p>
            <w:pPr>
              <w:spacing w:after="0" w:line="264" w:lineRule="auto"/>
            </w:pPr>
            <w:r>
              <w:rPr>
                <w:color w:val="282D37"/>
                <w:sz w:val="19"/>
              </w:rPr>
              <w:t>Validates request against pinned DataHub snapshot. If an uncertified field is present, logs to Audit Sink and returns a structured Refusal. Otherwise compiles SQL.</w:t>
            </w:r>
          </w:p>
        </w:tc>
      </w:tr>
      <w:tr>
        <w:tc>
          <w:tcPr>
            <w:tcW w:type="dxa" w:w="1944"/>
            <w:shd w:fill="FFFFFF"/>
            <w:tcMar>
              <w:top w:w="100" w:type="dxa"/>
              <w:bottom w:w="100" w:type="dxa"/>
              <w:left w:w="120" w:type="dxa"/>
              <w:right w:w="120" w:type="dxa"/>
            </w:tcMar>
            <w:vAlign w:val="top"/>
          </w:tcPr>
          <w:p>
            <w:pPr>
              <w:spacing w:after="0" w:line="264" w:lineRule="auto"/>
            </w:pPr>
            <w:r>
              <w:rPr>
                <w:b/>
                <w:color w:val="0F2540"/>
                <w:sz w:val="19"/>
              </w:rPr>
              <w:t>Step 5: Leg 2 Caller Impersonation &amp; RLS</w:t>
            </w:r>
          </w:p>
        </w:tc>
        <w:tc>
          <w:tcPr>
            <w:tcW w:type="dxa" w:w="1944"/>
            <w:shd w:fill="FFFFFF"/>
            <w:tcMar>
              <w:top w:w="100" w:type="dxa"/>
              <w:bottom w:w="100" w:type="dxa"/>
              <w:left w:w="120" w:type="dxa"/>
              <w:right w:w="120" w:type="dxa"/>
            </w:tcMar>
            <w:vAlign w:val="top"/>
          </w:tcPr>
          <w:p>
            <w:pPr>
              <w:spacing w:after="0" w:line="264" w:lineRule="auto"/>
            </w:pPr>
            <w:r>
              <w:rPr>
                <w:color w:val="282D37"/>
                <w:sz w:val="19"/>
              </w:rPr>
              <w:t>Sutura MCP -&gt; BigQuery / ClickHouse / Oracle</w:t>
            </w:r>
          </w:p>
        </w:tc>
        <w:tc>
          <w:tcPr>
            <w:tcW w:type="dxa" w:w="2664"/>
            <w:shd w:fill="FFFFFF"/>
            <w:tcMar>
              <w:top w:w="100" w:type="dxa"/>
              <w:bottom w:w="100" w:type="dxa"/>
              <w:left w:w="120" w:type="dxa"/>
              <w:right w:w="120" w:type="dxa"/>
            </w:tcMar>
            <w:vAlign w:val="top"/>
          </w:tcPr>
          <w:p>
            <w:pPr>
              <w:spacing w:after="0" w:line="264" w:lineRule="auto"/>
            </w:pPr>
            <w:r>
              <w:rPr>
                <w:color w:val="282D37"/>
                <w:sz w:val="19"/>
              </w:rPr>
              <w:t>Arrow ADBC / Native Driver with Impersonated User Session</w:t>
            </w:r>
          </w:p>
        </w:tc>
        <w:tc>
          <w:tcPr>
            <w:tcW w:type="dxa" w:w="3384"/>
            <w:shd w:fill="FFFFFF"/>
            <w:tcMar>
              <w:top w:w="100" w:type="dxa"/>
              <w:bottom w:w="100" w:type="dxa"/>
              <w:left w:w="120" w:type="dxa"/>
              <w:right w:w="120" w:type="dxa"/>
            </w:tcMar>
            <w:vAlign w:val="top"/>
          </w:tcPr>
          <w:p>
            <w:pPr>
              <w:spacing w:after="0" w:line="264" w:lineRule="auto"/>
            </w:pPr>
            <w:r>
              <w:rPr>
                <w:color w:val="282D37"/>
                <w:sz w:val="19"/>
              </w:rPr>
              <w:t>Sutura exchanges Alice's token (BigQuery), sets user role (ClickHouse), or opens a proxy session (Oracle). Warehouse enforces native Row-Level Security (`region = 'EMEA'`).</w:t>
            </w:r>
          </w:p>
        </w:tc>
      </w:tr>
      <w:tr>
        <w:tc>
          <w:tcPr>
            <w:tcW w:type="dxa" w:w="1944"/>
            <w:shd w:fill="F9FBFD"/>
            <w:tcMar>
              <w:top w:w="100" w:type="dxa"/>
              <w:bottom w:w="100" w:type="dxa"/>
              <w:left w:w="120" w:type="dxa"/>
              <w:right w:w="120" w:type="dxa"/>
            </w:tcMar>
            <w:vAlign w:val="top"/>
          </w:tcPr>
          <w:p>
            <w:pPr>
              <w:spacing w:after="0" w:line="264" w:lineRule="auto"/>
            </w:pPr>
            <w:r>
              <w:rPr>
                <w:b/>
                <w:color w:val="0F2540"/>
                <w:sz w:val="19"/>
              </w:rPr>
              <w:t>Step 6: Zero-Cache Return &amp; Synthesis</w:t>
            </w:r>
          </w:p>
        </w:tc>
        <w:tc>
          <w:tcPr>
            <w:tcW w:type="dxa" w:w="1944"/>
            <w:shd w:fill="F9FBFD"/>
            <w:tcMar>
              <w:top w:w="100" w:type="dxa"/>
              <w:bottom w:w="100" w:type="dxa"/>
              <w:left w:w="120" w:type="dxa"/>
              <w:right w:w="120" w:type="dxa"/>
            </w:tcMar>
            <w:vAlign w:val="top"/>
          </w:tcPr>
          <w:p>
            <w:pPr>
              <w:spacing w:after="0" w:line="264" w:lineRule="auto"/>
            </w:pPr>
            <w:r>
              <w:rPr>
                <w:color w:val="282D37"/>
                <w:sz w:val="19"/>
              </w:rPr>
              <w:t>Sutura MCP -&gt; Audit Sink -&gt; Agent</w:t>
            </w:r>
          </w:p>
        </w:tc>
        <w:tc>
          <w:tcPr>
            <w:tcW w:type="dxa" w:w="2664"/>
            <w:shd w:fill="F9FBFD"/>
            <w:tcMar>
              <w:top w:w="100" w:type="dxa"/>
              <w:bottom w:w="100" w:type="dxa"/>
              <w:left w:w="120" w:type="dxa"/>
              <w:right w:w="120" w:type="dxa"/>
            </w:tcMar>
            <w:vAlign w:val="top"/>
          </w:tcPr>
          <w:p>
            <w:pPr>
              <w:spacing w:after="0" w:line="264" w:lineRule="auto"/>
            </w:pPr>
            <w:r>
              <w:rPr>
                <w:color w:val="282D37"/>
                <w:sz w:val="19"/>
              </w:rPr>
              <w:t>Immutable Audit Log Write + Arrow/JSON Result Stream</w:t>
            </w:r>
          </w:p>
        </w:tc>
        <w:tc>
          <w:tcPr>
            <w:tcW w:type="dxa" w:w="3384"/>
            <w:shd w:fill="F9FBFD"/>
            <w:tcMar>
              <w:top w:w="100" w:type="dxa"/>
              <w:bottom w:w="100" w:type="dxa"/>
              <w:left w:w="120" w:type="dxa"/>
              <w:right w:w="120" w:type="dxa"/>
            </w:tcMar>
            <w:vAlign w:val="top"/>
          </w:tcPr>
          <w:p>
            <w:pPr>
              <w:spacing w:after="0" w:line="264" w:lineRule="auto"/>
            </w:pPr>
            <w:r>
              <w:rPr>
                <w:color w:val="282D37"/>
                <w:sz w:val="19"/>
              </w:rPr>
              <w:t>Sutura logs outcome to the Audit Sink, skips internal caching (preventing cross-user row leaks), and returns the governed number to the Agent to merge with DataHub's SOP context.</w:t>
            </w:r>
          </w:p>
        </w:tc>
      </w:tr>
    </w:tbl>
    <w:p>
      <w:pPr>
        <w:spacing w:after="80"/>
      </w:pPr>
    </w:p>
    <w:p>
      <w:pPr>
        <w:keepNext/>
        <w:spacing w:before="360" w:after="120"/>
        <w:pBdr>
          <w:bottom w:val="single" w:sz="12" w:space="4" w:color="008080"/>
        </w:pBdr>
      </w:pPr>
      <w:r>
        <w:rPr>
          <w:rFonts w:ascii="Calibri" w:hAnsi="Calibri"/>
          <w:b/>
          <w:color w:val="008080"/>
          <w:sz w:val="30"/>
        </w:rPr>
        <w:t xml:space="preserve">07  </w:t>
      </w:r>
      <w:r>
        <w:rPr>
          <w:rFonts w:ascii="Calibri" w:hAnsi="Calibri"/>
          <w:b/>
          <w:color w:val="0F2540"/>
          <w:sz w:val="30"/>
        </w:rPr>
        <w:t>Replacing Custom Python Scripts: Open-Source Governance &amp; Quality Engines</w:t>
      </w:r>
    </w:p>
    <w:p>
      <w:r>
        <w:t>Maintaining custom Python scripts for data quality and governance checks creates maintenance debt and disconnects validation results from your catalog. Because you use DataHub SaaS, you can replace custom Python scripts with open-source frameworks that natively push Assertions, Health Badges, and Data Contracts into DataHub Cloud:</w:t>
      </w:r>
    </w:p>
    <w:tbl>
      <w:tblPr>
        <w:tblW w:type="auto" w:w="0"/>
        <w:jc w:val="center"/>
        <w:tblLook w:firstColumn="1" w:firstRow="1" w:lastColumn="0" w:lastRow="0" w:noHBand="0" w:noVBand="1" w:val="04A0"/>
        <w:tblBorders>
          <w:top w:val="single" w:sz="6" w:space="0" w:color="D1D9E6"/>
          <w:bottom w:val="single" w:sz="8" w:space="0" w:color="0F2540"/>
          <w:insideH w:val="single" w:sz="4" w:space="0" w:color="D1D9E6"/>
          <w:left w:val="none"/>
          <w:right w:val="none"/>
          <w:insideV w:val="none"/>
        </w:tblBorders>
      </w:tblPr>
      <w:tblGrid>
        <w:gridCol w:w="2484"/>
        <w:gridCol w:w="2484"/>
        <w:gridCol w:w="2484"/>
        <w:gridCol w:w="2484"/>
      </w:tblGrid>
      <w:tr>
        <w:tc>
          <w:tcPr>
            <w:tcW w:type="dxa" w:w="1944"/>
            <w:shd w:fill="0F2540"/>
            <w:tcMar>
              <w:top w:w="120" w:type="dxa"/>
              <w:bottom w:w="120" w:type="dxa"/>
              <w:left w:w="120" w:type="dxa"/>
              <w:right w:w="120" w:type="dxa"/>
            </w:tcMar>
            <w:vAlign w:val="center"/>
          </w:tcPr>
          <w:p>
            <w:pPr>
              <w:spacing w:after="0"/>
            </w:pPr>
            <w:r>
              <w:rPr>
                <w:b/>
                <w:color w:val="FFFFFF"/>
                <w:sz w:val="19"/>
              </w:rPr>
              <w:t>Open-Source Tool</w:t>
            </w:r>
          </w:p>
        </w:tc>
        <w:tc>
          <w:tcPr>
            <w:tcW w:type="dxa" w:w="2088"/>
            <w:shd w:fill="0F2540"/>
            <w:tcMar>
              <w:top w:w="120" w:type="dxa"/>
              <w:bottom w:w="120" w:type="dxa"/>
              <w:left w:w="120" w:type="dxa"/>
              <w:right w:w="120" w:type="dxa"/>
            </w:tcMar>
            <w:vAlign w:val="center"/>
          </w:tcPr>
          <w:p>
            <w:pPr>
              <w:spacing w:after="0"/>
            </w:pPr>
            <w:r>
              <w:rPr>
                <w:b/>
                <w:color w:val="FFFFFF"/>
                <w:sz w:val="19"/>
              </w:rPr>
              <w:t>Best For</w:t>
            </w:r>
          </w:p>
        </w:tc>
        <w:tc>
          <w:tcPr>
            <w:tcW w:type="dxa" w:w="3024"/>
            <w:shd w:fill="0F2540"/>
            <w:tcMar>
              <w:top w:w="120" w:type="dxa"/>
              <w:bottom w:w="120" w:type="dxa"/>
              <w:left w:w="120" w:type="dxa"/>
              <w:right w:w="120" w:type="dxa"/>
            </w:tcMar>
            <w:vAlign w:val="center"/>
          </w:tcPr>
          <w:p>
            <w:pPr>
              <w:spacing w:after="0"/>
            </w:pPr>
            <w:r>
              <w:rPr>
                <w:b/>
                <w:color w:val="FFFFFF"/>
                <w:sz w:val="19"/>
              </w:rPr>
              <w:t>How It Replaces Custom Python</w:t>
            </w:r>
          </w:p>
        </w:tc>
        <w:tc>
          <w:tcPr>
            <w:tcW w:type="dxa" w:w="2880"/>
            <w:shd w:fill="0F2540"/>
            <w:tcMar>
              <w:top w:w="120" w:type="dxa"/>
              <w:bottom w:w="120" w:type="dxa"/>
              <w:left w:w="120" w:type="dxa"/>
              <w:right w:w="120" w:type="dxa"/>
            </w:tcMar>
            <w:vAlign w:val="center"/>
          </w:tcPr>
          <w:p>
            <w:pPr>
              <w:spacing w:after="0"/>
            </w:pPr>
            <w:r>
              <w:rPr>
                <w:b/>
                <w:color w:val="FFFFFF"/>
                <w:sz w:val="19"/>
              </w:rPr>
              <w:t>DataHub SaaS &amp; Sutura Integration</w:t>
            </w:r>
          </w:p>
        </w:tc>
      </w:tr>
      <w:tr>
        <w:tc>
          <w:tcPr>
            <w:tcW w:type="dxa" w:w="1944"/>
            <w:shd w:fill="FFFFFF"/>
            <w:tcMar>
              <w:top w:w="100" w:type="dxa"/>
              <w:bottom w:w="100" w:type="dxa"/>
              <w:left w:w="120" w:type="dxa"/>
              <w:right w:w="120" w:type="dxa"/>
            </w:tcMar>
            <w:vAlign w:val="top"/>
          </w:tcPr>
          <w:p>
            <w:pPr>
              <w:spacing w:after="0" w:line="264" w:lineRule="auto"/>
            </w:pPr>
            <w:r>
              <w:rPr>
                <w:b/>
                <w:color w:val="0F2540"/>
                <w:sz w:val="19"/>
              </w:rPr>
              <w:t>Soda Core</w:t>
              <w:br/>
              <w:t>(Apache 2.0 / SodaCL)</w:t>
            </w:r>
          </w:p>
        </w:tc>
        <w:tc>
          <w:tcPr>
            <w:tcW w:type="dxa" w:w="2088"/>
            <w:shd w:fill="FFFFFF"/>
            <w:tcMar>
              <w:top w:w="100" w:type="dxa"/>
              <w:bottom w:w="100" w:type="dxa"/>
              <w:left w:w="120" w:type="dxa"/>
              <w:right w:w="120" w:type="dxa"/>
            </w:tcMar>
            <w:vAlign w:val="top"/>
          </w:tcPr>
          <w:p>
            <w:pPr>
              <w:spacing w:after="0" w:line="264" w:lineRule="auto"/>
            </w:pPr>
            <w:r>
              <w:rPr>
                <w:color w:val="282D37"/>
                <w:sz w:val="19"/>
              </w:rPr>
              <w:t>Declarative Data Quality, Freshness, Volume &amp; Schema Checks</w:t>
            </w:r>
          </w:p>
        </w:tc>
        <w:tc>
          <w:tcPr>
            <w:tcW w:type="dxa" w:w="3024"/>
            <w:shd w:fill="FFFFFF"/>
            <w:tcMar>
              <w:top w:w="100" w:type="dxa"/>
              <w:bottom w:w="100" w:type="dxa"/>
              <w:left w:w="120" w:type="dxa"/>
              <w:right w:w="120" w:type="dxa"/>
            </w:tcMar>
            <w:vAlign w:val="top"/>
          </w:tcPr>
          <w:p>
            <w:pPr>
              <w:spacing w:after="0" w:line="264" w:lineRule="auto"/>
            </w:pPr>
            <w:r>
              <w:rPr>
                <w:color w:val="282D37"/>
                <w:sz w:val="19"/>
              </w:rPr>
              <w:t>Replaces 90% of custom SQL/Python validation scripts with human-readable YAML (SodaCL). Supports cross-table reconciliation, anomaly detection, and reference checks.</w:t>
            </w:r>
          </w:p>
        </w:tc>
        <w:tc>
          <w:tcPr>
            <w:tcW w:type="dxa" w:w="2880"/>
            <w:shd w:fill="FFFFFF"/>
            <w:tcMar>
              <w:top w:w="100" w:type="dxa"/>
              <w:bottom w:w="100" w:type="dxa"/>
              <w:left w:w="120" w:type="dxa"/>
              <w:right w:w="120" w:type="dxa"/>
            </w:tcMar>
            <w:vAlign w:val="top"/>
          </w:tcPr>
          <w:p>
            <w:pPr>
              <w:spacing w:after="0" w:line="264" w:lineRule="auto"/>
            </w:pPr>
            <w:r>
              <w:rPr>
                <w:color w:val="282D37"/>
                <w:sz w:val="19"/>
              </w:rPr>
              <w:t>Emits test results directly into DataHub SaaS as 'Assertions' visible on the dataset's Quality tab and health badge.</w:t>
            </w:r>
          </w:p>
        </w:tc>
      </w:tr>
      <w:tr>
        <w:tc>
          <w:tcPr>
            <w:tcW w:type="dxa" w:w="1944"/>
            <w:shd w:fill="F9FBFD"/>
            <w:tcMar>
              <w:top w:w="100" w:type="dxa"/>
              <w:bottom w:w="100" w:type="dxa"/>
              <w:left w:w="120" w:type="dxa"/>
              <w:right w:w="120" w:type="dxa"/>
            </w:tcMar>
            <w:vAlign w:val="top"/>
          </w:tcPr>
          <w:p>
            <w:pPr>
              <w:spacing w:after="0" w:line="264" w:lineRule="auto"/>
            </w:pPr>
            <w:r>
              <w:rPr>
                <w:b/>
                <w:color w:val="0F2540"/>
                <w:sz w:val="19"/>
              </w:rPr>
              <w:t>DataContract CLI</w:t>
              <w:br/>
              <w:t>(MIT License)</w:t>
            </w:r>
          </w:p>
        </w:tc>
        <w:tc>
          <w:tcPr>
            <w:tcW w:type="dxa" w:w="2088"/>
            <w:shd w:fill="F9FBFD"/>
            <w:tcMar>
              <w:top w:w="100" w:type="dxa"/>
              <w:bottom w:w="100" w:type="dxa"/>
              <w:left w:w="120" w:type="dxa"/>
              <w:right w:w="120" w:type="dxa"/>
            </w:tcMar>
            <w:vAlign w:val="top"/>
          </w:tcPr>
          <w:p>
            <w:pPr>
              <w:spacing w:after="0" w:line="264" w:lineRule="auto"/>
            </w:pPr>
            <w:r>
              <w:rPr>
                <w:color w:val="282D37"/>
                <w:sz w:val="19"/>
              </w:rPr>
              <w:t>Shift-Left Producer-Consumer Data Contracts (ODCS / YAML)</w:t>
            </w:r>
          </w:p>
        </w:tc>
        <w:tc>
          <w:tcPr>
            <w:tcW w:type="dxa" w:w="3024"/>
            <w:shd w:fill="F9FBFD"/>
            <w:tcMar>
              <w:top w:w="100" w:type="dxa"/>
              <w:bottom w:w="100" w:type="dxa"/>
              <w:left w:w="120" w:type="dxa"/>
              <w:right w:w="120" w:type="dxa"/>
            </w:tcMar>
            <w:vAlign w:val="top"/>
          </w:tcPr>
          <w:p>
            <w:pPr>
              <w:spacing w:after="0" w:line="264" w:lineRule="auto"/>
            </w:pPr>
            <w:r>
              <w:rPr>
                <w:color w:val="282D37"/>
                <w:sz w:val="19"/>
              </w:rPr>
              <w:t>Validates schema, semantics, SLA, and quality rules in CI/CD before data lands. Internally executes Soda, DuckDB, or Spark checks from a single contract YAML.</w:t>
            </w:r>
          </w:p>
        </w:tc>
        <w:tc>
          <w:tcPr>
            <w:tcW w:type="dxa" w:w="2880"/>
            <w:shd w:fill="F9FBFD"/>
            <w:tcMar>
              <w:top w:w="100" w:type="dxa"/>
              <w:bottom w:w="100" w:type="dxa"/>
              <w:left w:w="120" w:type="dxa"/>
              <w:right w:w="120" w:type="dxa"/>
            </w:tcMar>
            <w:vAlign w:val="top"/>
          </w:tcPr>
          <w:p>
            <w:pPr>
              <w:spacing w:after="0" w:line="264" w:lineRule="auto"/>
            </w:pPr>
            <w:r>
              <w:rPr>
                <w:color w:val="282D37"/>
                <w:sz w:val="19"/>
              </w:rPr>
              <w:t>Pushes verified Data Contract entities into DataHub SaaS AND serves as a native catalog adapter (`datacontract`) directly inside Telekom Sutura.</w:t>
            </w:r>
          </w:p>
        </w:tc>
      </w:tr>
      <w:tr>
        <w:tc>
          <w:tcPr>
            <w:tcW w:type="dxa" w:w="1944"/>
            <w:shd w:fill="FFFFFF"/>
            <w:tcMar>
              <w:top w:w="100" w:type="dxa"/>
              <w:bottom w:w="100" w:type="dxa"/>
              <w:left w:w="120" w:type="dxa"/>
              <w:right w:w="120" w:type="dxa"/>
            </w:tcMar>
            <w:vAlign w:val="top"/>
          </w:tcPr>
          <w:p>
            <w:pPr>
              <w:spacing w:after="0" w:line="264" w:lineRule="auto"/>
            </w:pPr>
            <w:r>
              <w:rPr>
                <w:b/>
                <w:color w:val="0F2540"/>
                <w:sz w:val="19"/>
              </w:rPr>
              <w:t>Great Expectations (GX)</w:t>
              <w:br/>
              <w:t>(Apache 2.0)</w:t>
            </w:r>
          </w:p>
        </w:tc>
        <w:tc>
          <w:tcPr>
            <w:tcW w:type="dxa" w:w="2088"/>
            <w:shd w:fill="FFFFFF"/>
            <w:tcMar>
              <w:top w:w="100" w:type="dxa"/>
              <w:bottom w:w="100" w:type="dxa"/>
              <w:left w:w="120" w:type="dxa"/>
              <w:right w:w="120" w:type="dxa"/>
            </w:tcMar>
            <w:vAlign w:val="top"/>
          </w:tcPr>
          <w:p>
            <w:pPr>
              <w:spacing w:after="0" w:line="264" w:lineRule="auto"/>
            </w:pPr>
            <w:r>
              <w:rPr>
                <w:color w:val="282D37"/>
                <w:sz w:val="19"/>
              </w:rPr>
              <w:t>Deep Pythonic Data Validation &amp; Complex Custom Expectations</w:t>
            </w:r>
          </w:p>
        </w:tc>
        <w:tc>
          <w:tcPr>
            <w:tcW w:type="dxa" w:w="3024"/>
            <w:shd w:fill="FFFFFF"/>
            <w:tcMar>
              <w:top w:w="100" w:type="dxa"/>
              <w:bottom w:w="100" w:type="dxa"/>
              <w:left w:w="120" w:type="dxa"/>
              <w:right w:w="120" w:type="dxa"/>
            </w:tcMar>
            <w:vAlign w:val="top"/>
          </w:tcPr>
          <w:p>
            <w:pPr>
              <w:spacing w:after="0" w:line="264" w:lineRule="auto"/>
            </w:pPr>
            <w:r>
              <w:rPr>
                <w:color w:val="282D37"/>
                <w:sz w:val="19"/>
              </w:rPr>
              <w:t>Standardizes Python/Pandas/Spark/SQL validation into version-controlled Expectation Suites with automated HTML Data Docs and checkpoint orchestration.</w:t>
            </w:r>
          </w:p>
        </w:tc>
        <w:tc>
          <w:tcPr>
            <w:tcW w:type="dxa" w:w="2880"/>
            <w:shd w:fill="FFFFFF"/>
            <w:tcMar>
              <w:top w:w="100" w:type="dxa"/>
              <w:bottom w:w="100" w:type="dxa"/>
              <w:left w:w="120" w:type="dxa"/>
              <w:right w:w="120" w:type="dxa"/>
            </w:tcMar>
            <w:vAlign w:val="top"/>
          </w:tcPr>
          <w:p>
            <w:pPr>
              <w:spacing w:after="0" w:line="264" w:lineRule="auto"/>
            </w:pPr>
            <w:r>
              <w:rPr>
                <w:color w:val="282D37"/>
                <w:sz w:val="19"/>
              </w:rPr>
              <w:t>Official `DataHubValidationAction` plugin automatically pushes suite pass/fail results and assertion metadata into DataHub SaaS.</w:t>
            </w:r>
          </w:p>
        </w:tc>
      </w:tr>
      <w:tr>
        <w:tc>
          <w:tcPr>
            <w:tcW w:type="dxa" w:w="1944"/>
            <w:shd w:fill="F9FBFD"/>
            <w:tcMar>
              <w:top w:w="100" w:type="dxa"/>
              <w:bottom w:w="100" w:type="dxa"/>
              <w:left w:w="120" w:type="dxa"/>
              <w:right w:w="120" w:type="dxa"/>
            </w:tcMar>
            <w:vAlign w:val="top"/>
          </w:tcPr>
          <w:p>
            <w:pPr>
              <w:spacing w:after="0" w:line="264" w:lineRule="auto"/>
            </w:pPr>
            <w:r>
              <w:rPr>
                <w:b/>
                <w:color w:val="0F2540"/>
                <w:sz w:val="19"/>
              </w:rPr>
              <w:t>dbt Core + dbt-expectations</w:t>
              <w:br/>
              <w:t>(Apache 2.0)</w:t>
            </w:r>
          </w:p>
        </w:tc>
        <w:tc>
          <w:tcPr>
            <w:tcW w:type="dxa" w:w="2088"/>
            <w:shd w:fill="F9FBFD"/>
            <w:tcMar>
              <w:top w:w="100" w:type="dxa"/>
              <w:bottom w:w="100" w:type="dxa"/>
              <w:left w:w="120" w:type="dxa"/>
              <w:right w:w="120" w:type="dxa"/>
            </w:tcMar>
            <w:vAlign w:val="top"/>
          </w:tcPr>
          <w:p>
            <w:pPr>
              <w:spacing w:after="0" w:line="264" w:lineRule="auto"/>
            </w:pPr>
            <w:r>
              <w:rPr>
                <w:color w:val="282D37"/>
                <w:sz w:val="19"/>
              </w:rPr>
              <w:t>In-Pipeline Transformation Quality &amp; Warehouse Assertions</w:t>
            </w:r>
          </w:p>
        </w:tc>
        <w:tc>
          <w:tcPr>
            <w:tcW w:type="dxa" w:w="3024"/>
            <w:shd w:fill="F9FBFD"/>
            <w:tcMar>
              <w:top w:w="100" w:type="dxa"/>
              <w:bottom w:w="100" w:type="dxa"/>
              <w:left w:w="120" w:type="dxa"/>
              <w:right w:w="120" w:type="dxa"/>
            </w:tcMar>
            <w:vAlign w:val="top"/>
          </w:tcPr>
          <w:p>
            <w:pPr>
              <w:spacing w:after="0" w:line="264" w:lineRule="auto"/>
            </w:pPr>
            <w:r>
              <w:rPr>
                <w:color w:val="282D37"/>
                <w:sz w:val="19"/>
              </w:rPr>
              <w:t>Embeds schema, referential integrity, and statistical regex/range checks directly into SQL transformation DAGs.</w:t>
            </w:r>
          </w:p>
        </w:tc>
        <w:tc>
          <w:tcPr>
            <w:tcW w:type="dxa" w:w="2880"/>
            <w:shd w:fill="F9FBFD"/>
            <w:tcMar>
              <w:top w:w="100" w:type="dxa"/>
              <w:bottom w:w="100" w:type="dxa"/>
              <w:left w:w="120" w:type="dxa"/>
              <w:right w:w="120" w:type="dxa"/>
            </w:tcMar>
            <w:vAlign w:val="top"/>
          </w:tcPr>
          <w:p>
            <w:pPr>
              <w:spacing w:after="0" w:line="264" w:lineRule="auto"/>
            </w:pPr>
            <w:r>
              <w:rPr>
                <w:color w:val="282D37"/>
                <w:sz w:val="19"/>
              </w:rPr>
              <w:t>DataHub's dbt ingestion source automatically maps every `dbt test` execution into DataHub Assertions and column-level lineage.</w:t>
            </w:r>
          </w:p>
        </w:tc>
      </w:tr>
      <w:tr>
        <w:tc>
          <w:tcPr>
            <w:tcW w:type="dxa" w:w="1944"/>
            <w:shd w:fill="FFFFFF"/>
            <w:tcMar>
              <w:top w:w="100" w:type="dxa"/>
              <w:bottom w:w="100" w:type="dxa"/>
              <w:left w:w="120" w:type="dxa"/>
              <w:right w:w="120" w:type="dxa"/>
            </w:tcMar>
            <w:vAlign w:val="top"/>
          </w:tcPr>
          <w:p>
            <w:pPr>
              <w:spacing w:after="0" w:line="264" w:lineRule="auto"/>
            </w:pPr>
            <w:r>
              <w:rPr>
                <w:b/>
                <w:color w:val="0F2540"/>
                <w:sz w:val="19"/>
              </w:rPr>
              <w:t>DataHub Actions Framework + OPA</w:t>
              <w:br/>
              <w:t>(Apache 2.0)</w:t>
            </w:r>
          </w:p>
        </w:tc>
        <w:tc>
          <w:tcPr>
            <w:tcW w:type="dxa" w:w="2088"/>
            <w:shd w:fill="FFFFFF"/>
            <w:tcMar>
              <w:top w:w="100" w:type="dxa"/>
              <w:bottom w:w="100" w:type="dxa"/>
              <w:left w:w="120" w:type="dxa"/>
              <w:right w:w="120" w:type="dxa"/>
            </w:tcMar>
            <w:vAlign w:val="top"/>
          </w:tcPr>
          <w:p>
            <w:pPr>
              <w:spacing w:after="0" w:line="264" w:lineRule="auto"/>
            </w:pPr>
            <w:r>
              <w:rPr>
                <w:color w:val="282D37"/>
                <w:sz w:val="19"/>
              </w:rPr>
              <w:t>Event-Driven Governance &amp; Policy-as-Code Automation</w:t>
            </w:r>
          </w:p>
        </w:tc>
        <w:tc>
          <w:tcPr>
            <w:tcW w:type="dxa" w:w="3024"/>
            <w:shd w:fill="FFFFFF"/>
            <w:tcMar>
              <w:top w:w="100" w:type="dxa"/>
              <w:bottom w:w="100" w:type="dxa"/>
              <w:left w:w="120" w:type="dxa"/>
              <w:right w:w="120" w:type="dxa"/>
            </w:tcMar>
            <w:vAlign w:val="top"/>
          </w:tcPr>
          <w:p>
            <w:pPr>
              <w:spacing w:after="0" w:line="264" w:lineRule="auto"/>
            </w:pPr>
            <w:r>
              <w:rPr>
                <w:color w:val="282D37"/>
                <w:sz w:val="19"/>
              </w:rPr>
              <w:t>Replaces cron-based Python scripts that poll for missing tags, missing owners, or PII compliance using event listeners and Open Policy Agent (Rego) rules.</w:t>
            </w:r>
          </w:p>
        </w:tc>
        <w:tc>
          <w:tcPr>
            <w:tcW w:type="dxa" w:w="2880"/>
            <w:shd w:fill="FFFFFF"/>
            <w:tcMar>
              <w:top w:w="100" w:type="dxa"/>
              <w:bottom w:w="100" w:type="dxa"/>
              <w:left w:w="120" w:type="dxa"/>
              <w:right w:w="120" w:type="dxa"/>
            </w:tcMar>
            <w:vAlign w:val="top"/>
          </w:tcPr>
          <w:p>
            <w:pPr>
              <w:spacing w:after="0" w:line="264" w:lineRule="auto"/>
            </w:pPr>
            <w:r>
              <w:rPr>
                <w:color w:val="282D37"/>
                <w:sz w:val="19"/>
              </w:rPr>
              <w:t>Listens to DataHub's real-time Metadata Change Log (MCL) stream to auto-tag assets, trigger workflows, or block non-compliant datasets.</w:t>
            </w:r>
          </w:p>
        </w:tc>
      </w:tr>
    </w:tbl>
    <w:p>
      <w:pPr>
        <w:spacing w:after="80"/>
      </w:pPr>
    </w:p>
    <w:p>
      <w:pPr>
        <w:keepNext/>
        <w:spacing w:before="240" w:after="80"/>
      </w:pPr>
      <w:r>
        <w:rPr>
          <w:rFonts w:ascii="Calibri" w:hAnsi="Calibri"/>
          <w:b/>
          <w:color w:val="0F2540"/>
          <w:sz w:val="24"/>
        </w:rPr>
        <w:t>Recommended 3-Step Migration Roadmap</w:t>
      </w:r>
    </w:p>
    <w:p>
      <w:pPr>
        <w:pStyle w:val="ListBullet"/>
        <w:spacing w:before="40" w:after="80" w:line="276" w:lineRule="auto"/>
      </w:pPr>
      <w:r>
        <w:rPr>
          <w:b/>
          <w:color w:val="0F2540"/>
        </w:rPr>
        <w:t xml:space="preserve">Phase 1 — Standardize on DataContract CLI + Soda Core: </w:t>
      </w:r>
      <w:r>
        <w:rPr>
          <w:color w:val="282D37"/>
        </w:rPr>
        <w:t>Convert ad-hoc Python table checks into declarative `datacontract.yaml` or `soda.yml` files executed in GitLab CI/CD or Airflow.</w:t>
      </w:r>
    </w:p>
    <w:p>
      <w:pPr>
        <w:pStyle w:val="ListBullet"/>
        <w:spacing w:before="40" w:after="80" w:line="276" w:lineRule="auto"/>
      </w:pPr>
      <w:r>
        <w:rPr>
          <w:b/>
          <w:color w:val="0F2540"/>
        </w:rPr>
        <w:t xml:space="preserve">Phase 2 — Publish Assertions to DataHub SaaS: </w:t>
      </w:r>
      <w:r>
        <w:rPr>
          <w:color w:val="282D37"/>
        </w:rPr>
        <w:t>Configure the DataHub sink in Soda Core / GX / dbt so every check updates dataset health badges and Assertion history inside DataHub Cloud.</w:t>
      </w:r>
    </w:p>
    <w:p>
      <w:pPr>
        <w:pStyle w:val="ListBullet"/>
        <w:spacing w:before="40" w:after="80" w:line="276" w:lineRule="auto"/>
      </w:pPr>
      <w:r>
        <w:rPr>
          <w:b/>
          <w:color w:val="0F2540"/>
        </w:rPr>
        <w:t xml:space="preserve">Phase 3 — Gate Sutura Catalog Snapshots on Passing Assertions: </w:t>
      </w:r>
      <w:r>
        <w:rPr>
          <w:color w:val="282D37"/>
        </w:rPr>
        <w:t>Promote metric and model definitions to Sutura's pinned catalog snapshot only when their underlying tables pass all DataHub Quality Assertions—guaranteeing AI agents never query broken or unverified data.</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D"/>
        <w:sz w:val="17"/>
      </w:rPr>
      <w:t>Enterprise Architecture Compendium (v2)  |  DataHub SaaS, Telekom Sutura, Semantic Metrics &amp; OSS Governance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82D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