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2A44"/>
          <w:sz w:val="36"/>
          <w:szCs w:val="36"/>
        </w:rPr>
        <w:t xml:space="preserve">Service Account Access — SharePoint &amp; Google Drive Connectors</w:t>
      </w:r>
    </w:p>
    <w:p>
      <w:pPr>
        <w:spacing w:after="60"/>
      </w:pPr>
      <w:r>
        <w:rPr>
          <w:i/>
          <w:iCs/>
          <w:color w:val="4A4A4A"/>
          <w:sz w:val="21"/>
          <w:szCs w:val="21"/>
        </w:rPr>
        <w:t xml:space="preserve">Permissions required for the ingestion connector layer to read source content on behalf of the RAG platform</w:t>
      </w:r>
    </w:p>
    <w:p>
      <w:pPr>
        <w:spacing w:after="260"/>
      </w:pPr>
      <w:r>
        <w:rPr>
          <w:color w:val="4A4A4A"/>
          <w:sz w:val="18"/>
          <w:szCs w:val="18"/>
        </w:rPr>
        <w:t xml:space="preserve">Classification: Internal – Confidential   |   Status: Draft v1.0   |   Owner: Enterprise AI &amp; Data Architecture</w:t>
      </w:r>
    </w:p>
    <w:p>
      <w:pPr>
        <w:pBdr>
          <w:bottom w:val="single" w:color="D7DEE4" w:sz="6"/>
        </w:pBdr>
        <w:spacing w:after="120" w:before="120"/>
      </w:pPr>
      <w:r>
        <w:t xml:space="preserve"/>
      </w:r>
    </w:p>
    <w:p>
      <w:pPr>
        <w:pStyle w:val="Heading1"/>
        <w:spacing w:after="160" w:before="320"/>
      </w:pPr>
      <w:r>
        <w:rPr>
          <w:b/>
          <w:bCs/>
          <w:color w:val="0F2A44"/>
          <w:sz w:val="30"/>
          <w:szCs w:val="30"/>
        </w:rPr>
        <w:t xml:space="preserve">Google Drive</w:t>
      </w:r>
    </w:p>
    <w:p>
      <w:pPr>
        <w:spacing w:after="160"/>
      </w:pPr>
      <w:r>
        <w:rPr>
          <w:b w:val="false"/>
          <w:bCs w:val="false"/>
          <w:i w:val="false"/>
          <w:iCs w:val="false"/>
          <w:color w:val="1A1A1A"/>
          <w:sz w:val="21"/>
          <w:szCs w:val="21"/>
        </w:rPr>
        <w:t xml:space="preserve">Two approaches are available, chosen based on where the target content lives.</w:t>
      </w:r>
    </w:p>
    <w:p>
      <w:pPr>
        <w:pStyle w:val="Heading2"/>
        <w:spacing w:after="120" w:before="260"/>
      </w:pPr>
      <w:r>
        <w:rPr>
          <w:b/>
          <w:bCs/>
          <w:color w:val="1F5C86"/>
          <w:sz w:val="24"/>
          <w:szCs w:val="24"/>
        </w:rPr>
        <w:t xml:space="preserve">Option A — Shared Drive Membership (Recommended)</w:t>
      </w:r>
    </w:p>
    <w:p>
      <w:pPr>
        <w:spacing w:after="160"/>
      </w:pPr>
      <w:r>
        <w:rPr>
          <w:b w:val="false"/>
          <w:bCs w:val="false"/>
          <w:i w:val="false"/>
          <w:iCs w:val="false"/>
          <w:color w:val="1A1A1A"/>
          <w:sz w:val="21"/>
          <w:szCs w:val="21"/>
        </w:rPr>
        <w:t xml:space="preserve">Add the service account's email (e.g. rag-ingest@project.iam.gserviceaccount.com) as a member directly on each Shared Drive that needs to be ingested. No domain-wide delegation is required — the service account accesses only what it is a member of, the same way any human user would.</w:t>
      </w:r>
    </w:p>
    <w:p>
      <w:pPr>
        <w:pStyle w:val="ListParagraph"/>
        <w:numPr>
          <w:ilvl w:val="0"/>
          <w:numId w:val="2"/>
        </w:numPr>
        <w:spacing w:after="80"/>
      </w:pPr>
      <w:r>
        <w:rPr>
          <w:b/>
          <w:bCs/>
          <w:sz w:val="21"/>
          <w:szCs w:val="21"/>
        </w:rPr>
        <w:t xml:space="preserve">Role: </w:t>
      </w:r>
      <w:r>
        <w:rPr>
          <w:sz w:val="21"/>
          <w:szCs w:val="21"/>
        </w:rPr>
        <w:t xml:space="preserve">Viewer or Content Manager on the target Shared Drive(s)</w:t>
      </w:r>
    </w:p>
    <w:p>
      <w:pPr>
        <w:pStyle w:val="ListParagraph"/>
        <w:numPr>
          <w:ilvl w:val="0"/>
          <w:numId w:val="2"/>
        </w:numPr>
        <w:spacing w:after="80"/>
      </w:pPr>
      <w:r>
        <w:rPr>
          <w:b/>
          <w:bCs/>
          <w:sz w:val="21"/>
          <w:szCs w:val="21"/>
        </w:rPr>
        <w:t xml:space="preserve">OAuth scope: </w:t>
      </w:r>
      <w:r>
        <w:rPr>
          <w:sz w:val="21"/>
          <w:szCs w:val="21"/>
        </w:rPr>
        <w:t xml:space="preserve">https://www.googleapis.com/auth/drive.readonly</w:t>
      </w:r>
    </w:p>
    <w:p>
      <w:pPr>
        <w:pStyle w:val="ListParagraph"/>
        <w:numPr>
          <w:ilvl w:val="0"/>
          <w:numId w:val="2"/>
        </w:numPr>
        <w:spacing w:after="80"/>
      </w:pPr>
      <w:r>
        <w:rPr>
          <w:b/>
          <w:bCs/>
          <w:sz w:val="21"/>
          <w:szCs w:val="21"/>
        </w:rPr>
        <w:t xml:space="preserve">Metadata-only scope (optional): </w:t>
      </w:r>
      <w:r>
        <w:rPr>
          <w:sz w:val="21"/>
          <w:szCs w:val="21"/>
        </w:rPr>
        <w:t xml:space="preserve">https://www.googleapis.com/auth/drive.metadata.readonly — use where only delta/metadata tracking is needed without file bytes</w:t>
      </w:r>
    </w:p>
    <w:p>
      <w:pPr>
        <w:pStyle w:val="Heading2"/>
        <w:spacing w:after="120" w:before="260"/>
      </w:pPr>
      <w:r>
        <w:rPr>
          <w:b/>
          <w:bCs/>
          <w:color w:val="1F5C86"/>
          <w:sz w:val="24"/>
          <w:szCs w:val="24"/>
        </w:rPr>
        <w:t xml:space="preserve">Option B — Domain-Wide Delegation (Only if Needed)</w:t>
      </w:r>
    </w:p>
    <w:p>
      <w:pPr>
        <w:spacing w:after="160"/>
      </w:pPr>
      <w:r>
        <w:rPr>
          <w:b w:val="false"/>
          <w:bCs w:val="false"/>
          <w:i w:val="false"/>
          <w:iCs w:val="false"/>
          <w:color w:val="1A1A1A"/>
          <w:sz w:val="21"/>
          <w:szCs w:val="21"/>
        </w:rPr>
        <w:t xml:space="preserve">Required only if content lives in individual users' “My Drive” rather than Shared Drives. A Workspace super admin must authorize the service account's OAuth Client ID in Admin Console → Security → API Controls → Domain-Wide Delegation, granting it the right to impersonate specific users with defined scopes.</w:t>
      </w:r>
    </w:p>
    <w:p>
      <w:pPr>
        <w:spacing w:after="160"/>
      </w:pPr>
      <w:r>
        <w:rPr>
          <w:b w:val="false"/>
          <w:bCs w:val="false"/>
          <w:i/>
          <w:iCs/>
          <w:color w:val="1A1A1A"/>
          <w:sz w:val="21"/>
          <w:szCs w:val="21"/>
        </w:rPr>
        <w:t xml:space="preserve">This is a broad grant — the service account can read any user's Drive content within the authorized scope — so it carries materially more security and audit overhead than Option A and should be reserved only when content genuinely lives outside Shared Drives.</w:t>
      </w:r>
    </w:p>
    <w:p>
      <w:pPr>
        <w:pStyle w:val="Heading2"/>
        <w:spacing w:after="120" w:before="260"/>
      </w:pPr>
      <w:r>
        <w:rPr>
          <w:b/>
          <w:bCs/>
          <w:color w:val="1F5C86"/>
          <w:sz w:val="24"/>
          <w:szCs w:val="24"/>
        </w:rPr>
        <w:t xml:space="preserve">Recommendation for This Architecture</w:t>
      </w:r>
    </w:p>
    <w:p>
      <w:pPr>
        <w:spacing w:after="160"/>
      </w:pPr>
      <w:r>
        <w:rPr>
          <w:b w:val="false"/>
          <w:bCs w:val="false"/>
          <w:i w:val="false"/>
          <w:iCs w:val="false"/>
          <w:color w:val="1A1A1A"/>
          <w:sz w:val="21"/>
          <w:szCs w:val="21"/>
        </w:rPr>
        <w:t xml:space="preserve">Shared Drive membership (Option A) is the better fit for the four document categories in scope (structured ledgers, contracts, standards, corporate comms), since these typically live in team Shared Drives. This avoids the security review and audit burden of domain-wide delegation entirely.</w:t>
      </w:r>
    </w:p>
    <w:p>
      <w:pPr>
        <w:pStyle w:val="Heading2"/>
        <w:spacing w:after="120" w:before="260"/>
      </w:pPr>
      <w:r>
        <w:rPr>
          <w:b/>
          <w:bCs/>
          <w:color w:val="1F5C86"/>
          <w:sz w:val="24"/>
          <w:szCs w:val="24"/>
        </w:rPr>
        <w:t xml:space="preserve">Supporting Capture for RBAC Mapping</w:t>
      </w:r>
    </w:p>
    <w:p>
      <w:pPr>
        <w:spacing w:after="160"/>
      </w:pPr>
      <w:r>
        <w:rPr>
          <w:b w:val="false"/>
          <w:bCs w:val="false"/>
          <w:i w:val="false"/>
          <w:iCs w:val="false"/>
          <w:color w:val="1A1A1A"/>
          <w:sz w:val="21"/>
          <w:szCs w:val="21"/>
        </w:rPr>
        <w:t xml:space="preserve">Regardless of option chosen, also call permissions.list per file to capture ACLs, which feed the downstream entitlement/RBAC mapping used by the Agent Orchestrator.</w:t>
      </w:r>
    </w:p>
    <w:p>
      <w:pPr>
        <w:pBdr>
          <w:bottom w:val="single" w:color="D7DEE4" w:sz="6"/>
        </w:pBdr>
        <w:spacing w:after="120" w:before="120"/>
      </w:pPr>
      <w:r>
        <w:t xml:space="preserve"/>
      </w:r>
    </w:p>
    <w:p>
      <w:pPr>
        <w:pStyle w:val="Heading1"/>
        <w:spacing w:after="160" w:before="320"/>
      </w:pPr>
      <w:r>
        <w:rPr>
          <w:b/>
          <w:bCs/>
          <w:color w:val="0F2A44"/>
          <w:sz w:val="30"/>
          <w:szCs w:val="30"/>
        </w:rPr>
        <w:t xml:space="preserve">SharePoint (Microsoft Graph)</w:t>
      </w:r>
    </w:p>
    <w:p>
      <w:pPr>
        <w:spacing w:after="160"/>
      </w:pPr>
      <w:r>
        <w:rPr>
          <w:b w:val="false"/>
          <w:bCs w:val="false"/>
          <w:i w:val="false"/>
          <w:iCs w:val="false"/>
          <w:color w:val="1A1A1A"/>
          <w:sz w:val="21"/>
          <w:szCs w:val="21"/>
        </w:rPr>
        <w:t xml:space="preserve">SharePoint access is provisioned through an Azure AD App Registration using Application permissions (not delegated permissions), since the connector runs unattended with no signed-in user.</w:t>
      </w:r>
    </w:p>
    <w:p>
      <w:pPr>
        <w:pStyle w:val="Heading2"/>
        <w:spacing w:after="120" w:before="260"/>
      </w:pPr>
      <w:r>
        <w:rPr>
          <w:b/>
          <w:bCs/>
          <w:color w:val="1F5C86"/>
          <w:sz w:val="24"/>
          <w:szCs w:val="24"/>
        </w:rPr>
        <w:t xml:space="preserve">Recommended — Sites.Selected</w:t>
      </w:r>
    </w:p>
    <w:p>
      <w:pPr>
        <w:spacing w:after="160"/>
      </w:pPr>
      <w:r>
        <w:rPr>
          <w:b w:val="false"/>
          <w:bCs w:val="false"/>
          <w:i w:val="false"/>
          <w:iCs w:val="false"/>
          <w:color w:val="1A1A1A"/>
          <w:sz w:val="21"/>
          <w:szCs w:val="21"/>
        </w:rPr>
        <w:t xml:space="preserve">Grant the app registration the Sites.Selected Application permission and obtain tenant admin consent once. Then use the Graph site-permissions API to explicitly grant the app access to only the specific site collections required (e.g. Legal, DataCenterOps), each scoped read-only per site.</w:t>
      </w:r>
    </w:p>
    <w:p>
      <w:pPr>
        <w:spacing w:after="160"/>
      </w:pPr>
      <w:r>
        <w:rPr>
          <w:b w:val="false"/>
          <w:bCs w:val="false"/>
          <w:i/>
          <w:iCs/>
          <w:color w:val="1A1A1A"/>
          <w:sz w:val="21"/>
          <w:szCs w:val="21"/>
        </w:rPr>
        <w:t xml:space="preserve">This avoids Sites.Read.All, which would give the app read access to every SharePoint site in the tenant — a far larger blast radius than most security teams will approve for a service account.</w:t>
      </w:r>
    </w:p>
    <w:p>
      <w:pPr>
        <w:pStyle w:val="Heading2"/>
        <w:spacing w:after="120" w:before="260"/>
      </w:pPr>
      <w:r>
        <w:rPr>
          <w:b/>
          <w:bCs/>
          <w:color w:val="1F5C86"/>
          <w:sz w:val="24"/>
          <w:szCs w:val="24"/>
        </w:rPr>
        <w:t xml:space="preserve">Broader Alternatives (Avoid Unless Required)</w:t>
      </w:r>
    </w:p>
    <w:p>
      <w:pPr>
        <w:pStyle w:val="ListParagraph"/>
        <w:numPr>
          <w:ilvl w:val="0"/>
          <w:numId w:val="2"/>
        </w:numPr>
        <w:spacing w:after="80"/>
      </w:pPr>
      <w:r>
        <w:rPr>
          <w:b/>
          <w:bCs/>
          <w:sz w:val="21"/>
          <w:szCs w:val="21"/>
        </w:rPr>
        <w:t xml:space="preserve">Sites.Read.All</w:t>
      </w:r>
      <w:r>
        <w:rPr>
          <w:sz w:val="21"/>
          <w:szCs w:val="21"/>
        </w:rPr>
        <w:t xml:space="preserve"> — read access to all site collections in the tenant</w:t>
      </w:r>
    </w:p>
    <w:p>
      <w:pPr>
        <w:pStyle w:val="ListParagraph"/>
        <w:numPr>
          <w:ilvl w:val="0"/>
          <w:numId w:val="2"/>
        </w:numPr>
        <w:spacing w:after="80"/>
      </w:pPr>
      <w:r>
        <w:rPr>
          <w:b/>
          <w:bCs/>
          <w:sz w:val="21"/>
          <w:szCs w:val="21"/>
        </w:rPr>
        <w:t xml:space="preserve">Files.Read.All</w:t>
      </w:r>
      <w:r>
        <w:rPr>
          <w:sz w:val="21"/>
          <w:szCs w:val="21"/>
        </w:rPr>
        <w:t xml:space="preserve"> — read access to all files the app can see</w:t>
      </w:r>
    </w:p>
    <w:p>
      <w:pPr>
        <w:pStyle w:val="Heading2"/>
        <w:spacing w:after="120" w:before="260"/>
      </w:pPr>
      <w:r>
        <w:rPr>
          <w:b/>
          <w:bCs/>
          <w:color w:val="1F5C86"/>
          <w:sz w:val="24"/>
          <w:szCs w:val="24"/>
        </w:rPr>
        <w:t xml:space="preserve">Authentication &amp; Consent</w:t>
      </w:r>
    </w:p>
    <w:p>
      <w:pPr>
        <w:pStyle w:val="ListParagraph"/>
        <w:numPr>
          <w:ilvl w:val="0"/>
          <w:numId w:val="2"/>
        </w:numPr>
        <w:spacing w:after="80"/>
      </w:pPr>
      <w:r>
        <w:rPr>
          <w:b/>
          <w:bCs/>
          <w:sz w:val="21"/>
          <w:szCs w:val="21"/>
        </w:rPr>
        <w:t xml:space="preserve">Auth method: </w:t>
      </w:r>
      <w:r>
        <w:rPr>
          <w:sz w:val="21"/>
          <w:szCs w:val="21"/>
        </w:rPr>
        <w:t xml:space="preserve">certificate-based authentication for the app registration in production, rather than a client secret — certificates are harder to leak and easier to rotate cleanly, and align better with most enterprise key-management policies</w:t>
      </w:r>
    </w:p>
    <w:p>
      <w:pPr>
        <w:pStyle w:val="ListParagraph"/>
        <w:numPr>
          <w:ilvl w:val="0"/>
          <w:numId w:val="2"/>
        </w:numPr>
        <w:spacing w:after="80"/>
      </w:pPr>
      <w:r>
        <w:rPr>
          <w:b/>
          <w:bCs/>
          <w:sz w:val="21"/>
          <w:szCs w:val="21"/>
        </w:rPr>
        <w:t xml:space="preserve">Consent: </w:t>
      </w:r>
      <w:r>
        <w:rPr>
          <w:sz w:val="21"/>
          <w:szCs w:val="21"/>
        </w:rPr>
        <w:t xml:space="preserve">Application permissions always require tenant admin consent (not just app-owner consent) — flag this early, since it is often the approval bottleneck</w:t>
      </w:r>
    </w:p>
    <w:p>
      <w:pPr>
        <w:pBdr>
          <w:bottom w:val="single" w:color="D7DEE4" w:sz="6"/>
        </w:pBdr>
        <w:spacing w:after="120" w:before="120"/>
      </w:pPr>
      <w:r>
        <w:t xml:space="preserve"/>
      </w:r>
    </w:p>
    <w:p>
      <w:pPr>
        <w:pStyle w:val="Heading1"/>
        <w:spacing w:after="160" w:before="320"/>
      </w:pPr>
      <w:r>
        <w:rPr>
          <w:b/>
          <w:bCs/>
          <w:color w:val="0F2A44"/>
          <w:sz w:val="30"/>
          <w:szCs w:val="30"/>
        </w:rPr>
        <w:t xml:space="preserve">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c>
          <w:tcPr>
            <w:tcW w:type="dxa" w:w="2100"/>
            <w:tcBorders>
              <w:top w:val="single" w:color="B7C6D9" w:sz="2"/>
              <w:left w:val="single" w:color="B7C6D9" w:sz="2"/>
              <w:bottom w:val="single" w:color="B7C6D9" w:sz="2"/>
              <w:right w:val="single" w:color="B7C6D9" w:sz="2"/>
            </w:tcBorders>
            <w:shd w:fill="1F5C86" w:val="clear"/>
            <w:tcMar>
              <w:top w:type="dxa" w:w="80"/>
              <w:left w:type="dxa" w:w="100"/>
              <w:bottom w:type="dxa" w:w="80"/>
              <w:right w:type="dxa" w:w="100"/>
            </w:tcMar>
          </w:tcPr>
          <w:p>
            <w:r>
              <w:rPr>
                <w:b/>
                <w:bCs/>
                <w:color w:val="FFFFFF"/>
                <w:sz w:val="20"/>
                <w:szCs w:val="20"/>
              </w:rPr>
              <w:t xml:space="preserve"/>
            </w:r>
          </w:p>
        </w:tc>
        <w:tc>
          <w:tcPr>
            <w:tcW w:type="dxa" w:w="3630"/>
            <w:tcBorders>
              <w:top w:val="single" w:color="B7C6D9" w:sz="2"/>
              <w:left w:val="single" w:color="B7C6D9" w:sz="2"/>
              <w:bottom w:val="single" w:color="B7C6D9" w:sz="2"/>
              <w:right w:val="single" w:color="B7C6D9" w:sz="2"/>
            </w:tcBorders>
            <w:shd w:fill="1F5C86" w:val="clear"/>
            <w:tcMar>
              <w:top w:type="dxa" w:w="80"/>
              <w:left w:type="dxa" w:w="100"/>
              <w:bottom w:type="dxa" w:w="80"/>
              <w:right w:type="dxa" w:w="100"/>
            </w:tcMar>
          </w:tcPr>
          <w:p>
            <w:r>
              <w:rPr>
                <w:b/>
                <w:bCs/>
                <w:color w:val="FFFFFF"/>
                <w:sz w:val="20"/>
                <w:szCs w:val="20"/>
              </w:rPr>
              <w:t xml:space="preserve">Google Drive</w:t>
            </w:r>
          </w:p>
        </w:tc>
        <w:tc>
          <w:tcPr>
            <w:tcW w:type="dxa" w:w="3630"/>
            <w:tcBorders>
              <w:top w:val="single" w:color="B7C6D9" w:sz="2"/>
              <w:left w:val="single" w:color="B7C6D9" w:sz="2"/>
              <w:bottom w:val="single" w:color="B7C6D9" w:sz="2"/>
              <w:right w:val="single" w:color="B7C6D9" w:sz="2"/>
            </w:tcBorders>
            <w:shd w:fill="1F5C86" w:val="clear"/>
            <w:tcMar>
              <w:top w:type="dxa" w:w="80"/>
              <w:left w:type="dxa" w:w="100"/>
              <w:bottom w:type="dxa" w:w="80"/>
              <w:right w:type="dxa" w:w="100"/>
            </w:tcMar>
          </w:tcPr>
          <w:p>
            <w:r>
              <w:rPr>
                <w:b/>
                <w:bCs/>
                <w:color w:val="FFFFFF"/>
                <w:sz w:val="20"/>
                <w:szCs w:val="20"/>
              </w:rPr>
              <w:t xml:space="preserve">SharePoint</w:t>
            </w:r>
          </w:p>
        </w:tc>
      </w:tr>
      <w:tr>
        <w:tc>
          <w:tcPr>
            <w:tcW w:type="dxa" w:w="2100"/>
            <w:tcBorders>
              <w:top w:val="single" w:color="B7C6D9" w:sz="2"/>
              <w:left w:val="single" w:color="B7C6D9" w:sz="2"/>
              <w:bottom w:val="single" w:color="B7C6D9" w:sz="2"/>
              <w:right w:val="single" w:color="B7C6D9" w:sz="2"/>
            </w:tcBorders>
            <w:shd w:fill="E9F1F8" w:val="clear"/>
            <w:tcMar>
              <w:top w:type="dxa" w:w="80"/>
              <w:left w:type="dxa" w:w="100"/>
              <w:bottom w:type="dxa" w:w="80"/>
              <w:right w:type="dxa" w:w="100"/>
            </w:tcMar>
          </w:tcPr>
          <w:p>
            <w:r>
              <w:rPr>
                <w:b/>
                <w:bCs/>
                <w:sz w:val="20"/>
                <w:szCs w:val="20"/>
              </w:rPr>
              <w:t xml:space="preserve">Auth pattern</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Service account key, or Shared Drive membership</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Azure AD app registration, certificate-based</w:t>
            </w:r>
          </w:p>
        </w:tc>
      </w:tr>
      <w:tr>
        <w:tc>
          <w:tcPr>
            <w:tcW w:type="dxa" w:w="2100"/>
            <w:tcBorders>
              <w:top w:val="single" w:color="B7C6D9" w:sz="2"/>
              <w:left w:val="single" w:color="B7C6D9" w:sz="2"/>
              <w:bottom w:val="single" w:color="B7C6D9" w:sz="2"/>
              <w:right w:val="single" w:color="B7C6D9" w:sz="2"/>
            </w:tcBorders>
            <w:shd w:fill="E9F1F8" w:val="clear"/>
            <w:tcMar>
              <w:top w:type="dxa" w:w="80"/>
              <w:left w:type="dxa" w:w="100"/>
              <w:bottom w:type="dxa" w:w="80"/>
              <w:right w:type="dxa" w:w="100"/>
            </w:tcMar>
          </w:tcPr>
          <w:p>
            <w:r>
              <w:rPr>
                <w:b/>
                <w:bCs/>
                <w:sz w:val="20"/>
                <w:szCs w:val="20"/>
              </w:rPr>
              <w:t xml:space="preserve">Least-privilege option</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Add service account as member on specific Shared Drives</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Sites.Selected, granted per site via Graph API</w:t>
            </w:r>
          </w:p>
        </w:tc>
      </w:tr>
      <w:tr>
        <w:tc>
          <w:tcPr>
            <w:tcW w:type="dxa" w:w="2100"/>
            <w:tcBorders>
              <w:top w:val="single" w:color="B7C6D9" w:sz="2"/>
              <w:left w:val="single" w:color="B7C6D9" w:sz="2"/>
              <w:bottom w:val="single" w:color="B7C6D9" w:sz="2"/>
              <w:right w:val="single" w:color="B7C6D9" w:sz="2"/>
            </w:tcBorders>
            <w:shd w:fill="E9F1F8" w:val="clear"/>
            <w:tcMar>
              <w:top w:type="dxa" w:w="80"/>
              <w:left w:type="dxa" w:w="100"/>
              <w:bottom w:type="dxa" w:w="80"/>
              <w:right w:type="dxa" w:w="100"/>
            </w:tcMar>
          </w:tcPr>
          <w:p>
            <w:r>
              <w:rPr>
                <w:b/>
                <w:bCs/>
                <w:sz w:val="20"/>
                <w:szCs w:val="20"/>
              </w:rPr>
              <w:t xml:space="preserve">Broader option (avoid if possible)</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Domain-wide delegation + user impersonation</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Sites.Read.All / Files.Read.All</w:t>
            </w:r>
          </w:p>
        </w:tc>
      </w:tr>
      <w:tr>
        <w:tc>
          <w:tcPr>
            <w:tcW w:type="dxa" w:w="2100"/>
            <w:tcBorders>
              <w:top w:val="single" w:color="B7C6D9" w:sz="2"/>
              <w:left w:val="single" w:color="B7C6D9" w:sz="2"/>
              <w:bottom w:val="single" w:color="B7C6D9" w:sz="2"/>
              <w:right w:val="single" w:color="B7C6D9" w:sz="2"/>
            </w:tcBorders>
            <w:shd w:fill="E9F1F8" w:val="clear"/>
            <w:tcMar>
              <w:top w:type="dxa" w:w="80"/>
              <w:left w:type="dxa" w:w="100"/>
              <w:bottom w:type="dxa" w:w="80"/>
              <w:right w:type="dxa" w:w="100"/>
            </w:tcMar>
          </w:tcPr>
          <w:p>
            <w:r>
              <w:rPr>
                <w:b/>
                <w:bCs/>
                <w:sz w:val="20"/>
                <w:szCs w:val="20"/>
              </w:rPr>
              <w:t xml:space="preserve">Scope / permission</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drive.readonly, drive.metadata.readonly</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Sites.Selected (+ per-site grant)</w:t>
            </w:r>
          </w:p>
        </w:tc>
      </w:tr>
      <w:tr>
        <w:tc>
          <w:tcPr>
            <w:tcW w:type="dxa" w:w="2100"/>
            <w:tcBorders>
              <w:top w:val="single" w:color="B7C6D9" w:sz="2"/>
              <w:left w:val="single" w:color="B7C6D9" w:sz="2"/>
              <w:bottom w:val="single" w:color="B7C6D9" w:sz="2"/>
              <w:right w:val="single" w:color="B7C6D9" w:sz="2"/>
            </w:tcBorders>
            <w:shd w:fill="E9F1F8" w:val="clear"/>
            <w:tcMar>
              <w:top w:type="dxa" w:w="80"/>
              <w:left w:type="dxa" w:w="100"/>
              <w:bottom w:type="dxa" w:w="80"/>
              <w:right w:type="dxa" w:w="100"/>
            </w:tcMar>
          </w:tcPr>
          <w:p>
            <w:r>
              <w:rPr>
                <w:b/>
                <w:bCs/>
                <w:sz w:val="20"/>
                <w:szCs w:val="20"/>
              </w:rPr>
              <w:t xml:space="preserve">Delta / incremental sync</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changes.list with stored startPageToken</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Graph delta query on driveItem</w:t>
            </w:r>
          </w:p>
        </w:tc>
      </w:tr>
      <w:tr>
        <w:tc>
          <w:tcPr>
            <w:tcW w:type="dxa" w:w="2100"/>
            <w:tcBorders>
              <w:top w:val="single" w:color="B7C6D9" w:sz="2"/>
              <w:left w:val="single" w:color="B7C6D9" w:sz="2"/>
              <w:bottom w:val="single" w:color="B7C6D9" w:sz="2"/>
              <w:right w:val="single" w:color="B7C6D9" w:sz="2"/>
            </w:tcBorders>
            <w:shd w:fill="E9F1F8" w:val="clear"/>
            <w:tcMar>
              <w:top w:type="dxa" w:w="80"/>
              <w:left w:type="dxa" w:w="100"/>
              <w:bottom w:type="dxa" w:w="80"/>
              <w:right w:type="dxa" w:w="100"/>
            </w:tcMar>
          </w:tcPr>
          <w:p>
            <w:r>
              <w:rPr>
                <w:b/>
                <w:bCs/>
                <w:sz w:val="20"/>
                <w:szCs w:val="20"/>
              </w:rPr>
              <w:t xml:space="preserve">ACL capture</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permissions.list per file</w:t>
            </w:r>
          </w:p>
        </w:tc>
        <w:tc>
          <w:tcPr>
            <w:tcW w:type="dxa" w:w="3630"/>
            <w:tcBorders>
              <w:top w:val="single" w:color="B7C6D9" w:sz="2"/>
              <w:left w:val="single" w:color="B7C6D9" w:sz="2"/>
              <w:bottom w:val="single" w:color="B7C6D9" w:sz="2"/>
              <w:right w:val="single" w:color="B7C6D9" w:sz="2"/>
            </w:tcBorders>
            <w:tcMar>
              <w:top w:type="dxa" w:w="80"/>
              <w:left w:type="dxa" w:w="100"/>
              <w:bottom w:type="dxa" w:w="80"/>
              <w:right w:type="dxa" w:w="100"/>
            </w:tcMar>
          </w:tcPr>
          <w:p>
            <w:r>
              <w:rPr>
                <w:color w:val="1A1A1A"/>
                <w:sz w:val="20"/>
                <w:szCs w:val="20"/>
              </w:rPr>
              <w:t xml:space="preserve">/permissions endpoint per item</w:t>
            </w:r>
          </w:p>
        </w:tc>
      </w:tr>
    </w:tbl>
    <w:p>
      <w:pPr>
        <w:pBdr>
          <w:bottom w:val="single" w:color="D7DEE4" w:sz="6"/>
        </w:pBdr>
        <w:spacing w:after="120" w:before="120"/>
      </w:pPr>
      <w:r>
        <w:t xml:space="preserve"/>
      </w:r>
    </w:p>
    <w:p>
      <w:pPr>
        <w:pStyle w:val="Heading1"/>
        <w:spacing w:after="160" w:before="320"/>
      </w:pPr>
      <w:r>
        <w:rPr>
          <w:b/>
          <w:bCs/>
          <w:color w:val="0F2A44"/>
          <w:sz w:val="30"/>
          <w:szCs w:val="30"/>
        </w:rPr>
        <w:t xml:space="preserve">Recommended Posture for This Architecture</w:t>
      </w:r>
    </w:p>
    <w:p>
      <w:pPr>
        <w:spacing w:after="160"/>
      </w:pPr>
      <w:r>
        <w:rPr>
          <w:b w:val="false"/>
          <w:bCs w:val="false"/>
          <w:i w:val="false"/>
          <w:iCs w:val="false"/>
          <w:color w:val="1A1A1A"/>
          <w:sz w:val="21"/>
          <w:szCs w:val="21"/>
        </w:rPr>
        <w:t xml:space="preserve">For the connector layer feeding the RAG ingestion pipeline, default to Shared Drive membership on the Google Drive side and Sites.Selected on the SharePoint side. This keeps the service account's footprint limited to exactly the folders and sites in scope for the four document categories (structured ledgers, vendor/legal contracts, policy &amp; standards, corporate communications), which will make the security review meaningfully faster than requesting tenant-wide or domain-wide read access.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2026-07-08T04:51:31.949Z</dcterms:created>
  <dcterms:modified xsi:type="dcterms:W3CDTF">2026-07-08T04:51:31.949Z</dcterms:modified>
</cp:coreProperties>
</file>

<file path=docProps/custom.xml><?xml version="1.0" encoding="utf-8"?>
<Properties xmlns="http://schemas.openxmlformats.org/officeDocument/2006/custom-properties" xmlns:vt="http://schemas.openxmlformats.org/officeDocument/2006/docPropsVTypes"/>
</file>