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3A5F"/>
          <w:sz w:val="44"/>
          <w:szCs w:val="44"/>
        </w:rPr>
        <w:t xml:space="preserve">Open Source LLM and Agent Security Scanning</w:t>
      </w:r>
    </w:p>
    <w:p>
      <w:pPr>
        <w:pBdr>
          <w:bottom w:val="single" w:color="1F3A5F" w:sz="8" w:space="6"/>
        </w:pBdr>
        <w:spacing w:after="240"/>
      </w:pPr>
      <w:r>
        <w:rPr>
          <w:color w:val="5A6472"/>
          <w:sz w:val="22"/>
          <w:szCs w:val="22"/>
        </w:rPr>
        <w:t xml:space="preserve">Tooling, Garak setup, deployment options, and internal LLM risks  |  October 2026</w:t>
      </w:r>
    </w:p>
    <w:p>
      <w:pPr>
        <w:pStyle w:val="Heading1"/>
      </w:pPr>
      <w:r>
        <w:t xml:space="preserve">1. Summary</w:t>
      </w:r>
    </w:p>
    <w:p>
      <w:pPr>
        <w:spacing w:after="140"/>
      </w:pPr>
      <w:r>
        <w:t xml:space="preserve">No single open source tool covers every LLM security risk. The practical approach is a layered stack: scan the model before deployment, red team the application and agent, scan the agent’s tool connections, and enforce guardrails at runtime.</w:t>
      </w:r>
    </w:p>
    <w:p>
      <w:pPr>
        <w:spacing w:after="140"/>
      </w:pPr>
      <w:r>
        <w:t xml:space="preserve">Garak is the recommended starting point for model scanning. It is quick to install, and most of the effort goes into scoping scans and interpreting results.</w:t>
      </w:r>
    </w:p>
    <w:p>
      <w:pPr>
        <w:pStyle w:val="Heading1"/>
      </w:pPr>
      <w:r>
        <w:t xml:space="preserve">2. Open source tool landscape</w:t>
      </w:r>
    </w:p>
    <w:p>
      <w:pPr>
        <w:pStyle w:val="Heading2"/>
      </w:pPr>
      <w:r>
        <w:t xml:space="preserve">Before deployment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5960"/>
      </w:tblGrid>
      <w:tr>
        <w:trPr>
          <w:tblHeader/>
        </w:trPr>
        <w:tc>
          <w:tcPr>
            <w:tcW w:type="dxa" w:w="1900"/>
            <w:tcBorders>
              <w:top w:val="single" w:color="C5CCD6" w:sz="4"/>
              <w:left w:val="single" w:color="C5CCD6" w:sz="4"/>
              <w:bottom w:val="single" w:color="C5CCD6" w:sz="4"/>
              <w:right w:val="single" w:color="C5CCD6" w:sz="4"/>
            </w:tcBorders>
            <w:shd w:fill="1F3A5F" w:val="clear"/>
            <w:tcMar>
              <w:top w:type="dxa" w:w="70"/>
              <w:left w:type="dxa" w:w="110"/>
              <w:bottom w:type="dxa" w:w="70"/>
              <w:right w:type="dxa" w:w="110"/>
            </w:tcMar>
          </w:tcPr>
          <w:p>
            <w:r>
              <w:rPr>
                <w:b/>
                <w:bCs/>
                <w:color w:val="FFFFFF"/>
                <w:sz w:val="20"/>
                <w:szCs w:val="20"/>
              </w:rPr>
              <w:t xml:space="preserve">Tool</w:t>
            </w:r>
          </w:p>
        </w:tc>
        <w:tc>
          <w:tcPr>
            <w:tcW w:type="dxa" w:w="1500"/>
            <w:tcBorders>
              <w:top w:val="single" w:color="C5CCD6" w:sz="4"/>
              <w:left w:val="single" w:color="C5CCD6" w:sz="4"/>
              <w:bottom w:val="single" w:color="C5CCD6" w:sz="4"/>
              <w:right w:val="single" w:color="C5CCD6" w:sz="4"/>
            </w:tcBorders>
            <w:shd w:fill="1F3A5F" w:val="clear"/>
            <w:tcMar>
              <w:top w:type="dxa" w:w="70"/>
              <w:left w:type="dxa" w:w="110"/>
              <w:bottom w:type="dxa" w:w="70"/>
              <w:right w:type="dxa" w:w="110"/>
            </w:tcMar>
          </w:tcPr>
          <w:p>
            <w:r>
              <w:rPr>
                <w:b/>
                <w:bCs/>
                <w:color w:val="FFFFFF"/>
                <w:sz w:val="20"/>
                <w:szCs w:val="20"/>
              </w:rPr>
              <w:t xml:space="preserve">License</w:t>
            </w:r>
          </w:p>
        </w:tc>
        <w:tc>
          <w:tcPr>
            <w:tcW w:type="dxa" w:w="5960"/>
            <w:tcBorders>
              <w:top w:val="single" w:color="C5CCD6" w:sz="4"/>
              <w:left w:val="single" w:color="C5CCD6" w:sz="4"/>
              <w:bottom w:val="single" w:color="C5CCD6" w:sz="4"/>
              <w:right w:val="single" w:color="C5CCD6" w:sz="4"/>
            </w:tcBorders>
            <w:shd w:fill="1F3A5F" w:val="clear"/>
            <w:tcMar>
              <w:top w:type="dxa" w:w="70"/>
              <w:left w:type="dxa" w:w="110"/>
              <w:bottom w:type="dxa" w:w="70"/>
              <w:right w:type="dxa" w:w="110"/>
            </w:tcMar>
          </w:tcPr>
          <w:p>
            <w:r>
              <w:rPr>
                <w:b/>
                <w:bCs/>
                <w:color w:val="FFFFFF"/>
                <w:sz w:val="20"/>
                <w:szCs w:val="20"/>
              </w:rPr>
              <w:t xml:space="preserve">What it does</w:t>
            </w:r>
          </w:p>
        </w:tc>
      </w:tr>
      <w:tr>
        <w:trPr>
          <w:cantSplit/>
        </w:trPr>
        <w:tc>
          <w:tcPr>
            <w:tcW w:type="dxa" w:w="1900"/>
            <w:tcBorders>
              <w:top w:val="single" w:color="C5CCD6" w:sz="4"/>
              <w:left w:val="single" w:color="C5CCD6" w:sz="4"/>
              <w:bottom w:val="single" w:color="C5CCD6" w:sz="4"/>
              <w:right w:val="single" w:color="C5CCD6" w:sz="4"/>
            </w:tcBorders>
            <w:tcMar>
              <w:top w:type="dxa" w:w="70"/>
              <w:left w:type="dxa" w:w="110"/>
              <w:bottom w:type="dxa" w:w="70"/>
              <w:right w:type="dxa" w:w="110"/>
            </w:tcMar>
          </w:tcPr>
          <w:p>
            <w:r>
              <w:rPr>
                <w:b/>
                <w:bCs/>
                <w:sz w:val="20"/>
                <w:szCs w:val="20"/>
              </w:rPr>
              <w:t xml:space="preserve">Garak</w:t>
            </w:r>
            <w:r>
              <w:rPr>
                <w:sz w:val="20"/>
                <w:szCs w:val="20"/>
              </w:rPr>
              <w:t xml:space="preserve"> (NVIDIA)</w:t>
            </w:r>
          </w:p>
        </w:tc>
        <w:tc>
          <w:tcPr>
            <w:tcW w:type="dxa" w:w="1500"/>
            <w:tcBorders>
              <w:top w:val="single" w:color="C5CCD6" w:sz="4"/>
              <w:left w:val="single" w:color="C5CCD6" w:sz="4"/>
              <w:bottom w:val="single" w:color="C5CCD6" w:sz="4"/>
              <w:right w:val="single" w:color="C5CCD6" w:sz="4"/>
            </w:tcBorders>
            <w:tcMar>
              <w:top w:type="dxa" w:w="70"/>
              <w:left w:type="dxa" w:w="110"/>
              <w:bottom w:type="dxa" w:w="70"/>
              <w:right w:type="dxa" w:w="110"/>
            </w:tcMar>
          </w:tcPr>
          <w:p>
            <w:r>
              <w:rPr>
                <w:sz w:val="20"/>
                <w:szCs w:val="20"/>
              </w:rPr>
              <w:t xml:space="preserve">Apache 2.0</w:t>
            </w:r>
          </w:p>
        </w:tc>
        <w:tc>
          <w:tcPr>
            <w:tcW w:type="dxa" w:w="5960"/>
            <w:tcBorders>
              <w:top w:val="single" w:color="C5CCD6" w:sz="4"/>
              <w:left w:val="single" w:color="C5CCD6" w:sz="4"/>
              <w:bottom w:val="single" w:color="C5CCD6" w:sz="4"/>
              <w:right w:val="single" w:color="C5CCD6" w:sz="4"/>
            </w:tcBorders>
            <w:tcMar>
              <w:top w:type="dxa" w:w="70"/>
              <w:left w:type="dxa" w:w="110"/>
              <w:bottom w:type="dxa" w:w="70"/>
              <w:right w:type="dxa" w:w="110"/>
            </w:tcMar>
          </w:tcPr>
          <w:p>
            <w:r>
              <w:rPr>
                <w:sz w:val="20"/>
                <w:szCs w:val="20"/>
              </w:rPr>
              <w:t xml:space="preserve">Model-level vulnerability scanner, often described as nmap for LLMs. Probes for prompt injection, jailbreaks, data leakage, and hallucination. Includes latent injection probes for RAG and atkgen, where an attack model generates adversarial prompts.</w:t>
            </w:r>
          </w:p>
        </w:tc>
      </w:tr>
      <w:tr>
        <w:trPr>
          <w:cantSplit/>
        </w:trPr>
        <w:tc>
          <w:tcPr>
            <w:tcW w:type="dxa" w:w="1900"/>
            <w:tcBorders>
              <w:top w:val="single" w:color="C5CCD6" w:sz="4"/>
              <w:left w:val="single" w:color="C5CCD6" w:sz="4"/>
              <w:bottom w:val="single" w:color="C5CCD6" w:sz="4"/>
              <w:right w:val="single" w:color="C5CCD6" w:sz="4"/>
            </w:tcBorders>
            <w:tcMar>
              <w:top w:type="dxa" w:w="70"/>
              <w:left w:type="dxa" w:w="110"/>
              <w:bottom w:type="dxa" w:w="70"/>
              <w:right w:type="dxa" w:w="110"/>
            </w:tcMar>
          </w:tcPr>
          <w:p>
            <w:r>
              <w:rPr>
                <w:b/>
                <w:bCs/>
                <w:sz w:val="20"/>
                <w:szCs w:val="20"/>
              </w:rPr>
              <w:t xml:space="preserve">Promptfoo</w:t>
            </w:r>
          </w:p>
        </w:tc>
        <w:tc>
          <w:tcPr>
            <w:tcW w:type="dxa" w:w="1500"/>
            <w:tcBorders>
              <w:top w:val="single" w:color="C5CCD6" w:sz="4"/>
              <w:left w:val="single" w:color="C5CCD6" w:sz="4"/>
              <w:bottom w:val="single" w:color="C5CCD6" w:sz="4"/>
              <w:right w:val="single" w:color="C5CCD6" w:sz="4"/>
            </w:tcBorders>
            <w:tcMar>
              <w:top w:type="dxa" w:w="70"/>
              <w:left w:type="dxa" w:w="110"/>
              <w:bottom w:type="dxa" w:w="70"/>
              <w:right w:type="dxa" w:w="110"/>
            </w:tcMar>
          </w:tcPr>
          <w:p>
            <w:r>
              <w:rPr>
                <w:sz w:val="20"/>
                <w:szCs w:val="20"/>
              </w:rPr>
              <w:t xml:space="preserve">MIT</w:t>
            </w:r>
          </w:p>
        </w:tc>
        <w:tc>
          <w:tcPr>
            <w:tcW w:type="dxa" w:w="5960"/>
            <w:tcBorders>
              <w:top w:val="single" w:color="C5CCD6" w:sz="4"/>
              <w:left w:val="single" w:color="C5CCD6" w:sz="4"/>
              <w:bottom w:val="single" w:color="C5CCD6" w:sz="4"/>
              <w:right w:val="single" w:color="C5CCD6" w:sz="4"/>
            </w:tcBorders>
            <w:tcMar>
              <w:top w:type="dxa" w:w="70"/>
              <w:left w:type="dxa" w:w="110"/>
              <w:bottom w:type="dxa" w:w="70"/>
              <w:right w:type="dxa" w:w="110"/>
            </w:tcMar>
          </w:tcPr>
          <w:p>
            <w:r>
              <w:rPr>
                <w:sz w:val="20"/>
                <w:szCs w:val="20"/>
              </w:rPr>
              <w:t xml:space="preserve">Application-level red teaming with 50+ plugins and reports mapped to OWASP LLM Top 10, NIST, and MITRE ATLAS. Easiest to gate in CI. Acquired by OpenAI in March 2026; the core remains open source.</w:t>
            </w:r>
          </w:p>
        </w:tc>
      </w:tr>
      <w:tr>
        <w:trPr>
          <w:cantSplit/>
        </w:trPr>
        <w:tc>
          <w:tcPr>
            <w:tcW w:type="dxa" w:w="1900"/>
            <w:tcBorders>
              <w:top w:val="single" w:color="C5CCD6" w:sz="4"/>
              <w:left w:val="single" w:color="C5CCD6" w:sz="4"/>
              <w:bottom w:val="single" w:color="C5CCD6" w:sz="4"/>
              <w:right w:val="single" w:color="C5CCD6" w:sz="4"/>
            </w:tcBorders>
            <w:tcMar>
              <w:top w:type="dxa" w:w="70"/>
              <w:left w:type="dxa" w:w="110"/>
              <w:bottom w:type="dxa" w:w="70"/>
              <w:right w:type="dxa" w:w="110"/>
            </w:tcMar>
          </w:tcPr>
          <w:p>
            <w:r>
              <w:rPr>
                <w:b/>
                <w:bCs/>
                <w:sz w:val="20"/>
                <w:szCs w:val="20"/>
              </w:rPr>
              <w:t xml:space="preserve">PyRIT</w:t>
            </w:r>
            <w:r>
              <w:rPr>
                <w:sz w:val="20"/>
                <w:szCs w:val="20"/>
              </w:rPr>
              <w:t xml:space="preserve"> (Microsoft)</w:t>
            </w:r>
          </w:p>
        </w:tc>
        <w:tc>
          <w:tcPr>
            <w:tcW w:type="dxa" w:w="1500"/>
            <w:tcBorders>
              <w:top w:val="single" w:color="C5CCD6" w:sz="4"/>
              <w:left w:val="single" w:color="C5CCD6" w:sz="4"/>
              <w:bottom w:val="single" w:color="C5CCD6" w:sz="4"/>
              <w:right w:val="single" w:color="C5CCD6" w:sz="4"/>
            </w:tcBorders>
            <w:tcMar>
              <w:top w:type="dxa" w:w="70"/>
              <w:left w:type="dxa" w:w="110"/>
              <w:bottom w:type="dxa" w:w="70"/>
              <w:right w:type="dxa" w:w="110"/>
            </w:tcMar>
          </w:tcPr>
          <w:p>
            <w:r>
              <w:rPr>
                <w:sz w:val="20"/>
                <w:szCs w:val="20"/>
              </w:rPr>
              <w:t xml:space="preserve">MIT</w:t>
            </w:r>
          </w:p>
        </w:tc>
        <w:tc>
          <w:tcPr>
            <w:tcW w:type="dxa" w:w="5960"/>
            <w:tcBorders>
              <w:top w:val="single" w:color="C5CCD6" w:sz="4"/>
              <w:left w:val="single" w:color="C5CCD6" w:sz="4"/>
              <w:bottom w:val="single" w:color="C5CCD6" w:sz="4"/>
              <w:right w:val="single" w:color="C5CCD6" w:sz="4"/>
            </w:tcBorders>
            <w:tcMar>
              <w:top w:type="dxa" w:w="70"/>
              <w:left w:type="dxa" w:w="110"/>
              <w:bottom w:type="dxa" w:w="70"/>
              <w:right w:type="dxa" w:w="110"/>
            </w:tcMar>
          </w:tcPr>
          <w:p>
            <w:r>
              <w:rPr>
                <w:sz w:val="20"/>
                <w:szCs w:val="20"/>
              </w:rPr>
              <w:t xml:space="preserve">Adaptive multi-turn red team campaigns against models and full applications. Needs more engineering effort. Active repo is github.com/microsoft/PyRIT; the archived Azure/PyRIT repo is an old stub.</w:t>
            </w:r>
          </w:p>
        </w:tc>
      </w:tr>
      <w:tr>
        <w:trPr>
          <w:cantSplit/>
        </w:trPr>
        <w:tc>
          <w:tcPr>
            <w:tcW w:type="dxa" w:w="1900"/>
            <w:tcBorders>
              <w:top w:val="single" w:color="C5CCD6" w:sz="4"/>
              <w:left w:val="single" w:color="C5CCD6" w:sz="4"/>
              <w:bottom w:val="single" w:color="C5CCD6" w:sz="4"/>
              <w:right w:val="single" w:color="C5CCD6" w:sz="4"/>
            </w:tcBorders>
            <w:tcMar>
              <w:top w:type="dxa" w:w="70"/>
              <w:left w:type="dxa" w:w="110"/>
              <w:bottom w:type="dxa" w:w="70"/>
              <w:right w:type="dxa" w:w="110"/>
            </w:tcMar>
          </w:tcPr>
          <w:p>
            <w:r>
              <w:rPr>
                <w:b/>
                <w:bCs/>
                <w:sz w:val="20"/>
                <w:szCs w:val="20"/>
              </w:rPr>
              <w:t xml:space="preserve">DeepTeam</w:t>
            </w:r>
            <w:r>
              <w:rPr>
                <w:sz w:val="20"/>
                <w:szCs w:val="20"/>
              </w:rPr>
              <w:t xml:space="preserve">, </w:t>
            </w:r>
            <w:r>
              <w:rPr>
                <w:b/>
                <w:bCs/>
                <w:sz w:val="20"/>
                <w:szCs w:val="20"/>
              </w:rPr>
              <w:t xml:space="preserve">Giskard</w:t>
            </w:r>
          </w:p>
        </w:tc>
        <w:tc>
          <w:tcPr>
            <w:tcW w:type="dxa" w:w="1500"/>
            <w:tcBorders>
              <w:top w:val="single" w:color="C5CCD6" w:sz="4"/>
              <w:left w:val="single" w:color="C5CCD6" w:sz="4"/>
              <w:bottom w:val="single" w:color="C5CCD6" w:sz="4"/>
              <w:right w:val="single" w:color="C5CCD6" w:sz="4"/>
            </w:tcBorders>
            <w:tcMar>
              <w:top w:type="dxa" w:w="70"/>
              <w:left w:type="dxa" w:w="110"/>
              <w:bottom w:type="dxa" w:w="70"/>
              <w:right w:type="dxa" w:w="110"/>
            </w:tcMar>
          </w:tcPr>
          <w:p>
            <w:r>
              <w:rPr>
                <w:sz w:val="20"/>
                <w:szCs w:val="20"/>
              </w:rPr>
              <w:t xml:space="preserve">Open source</w:t>
            </w:r>
          </w:p>
        </w:tc>
        <w:tc>
          <w:tcPr>
            <w:tcW w:type="dxa" w:w="5960"/>
            <w:tcBorders>
              <w:top w:val="single" w:color="C5CCD6" w:sz="4"/>
              <w:left w:val="single" w:color="C5CCD6" w:sz="4"/>
              <w:bottom w:val="single" w:color="C5CCD6" w:sz="4"/>
              <w:right w:val="single" w:color="C5CCD6" w:sz="4"/>
            </w:tcBorders>
            <w:tcMar>
              <w:top w:type="dxa" w:w="70"/>
              <w:left w:type="dxa" w:w="110"/>
              <w:bottom w:type="dxa" w:w="70"/>
              <w:right w:type="dxa" w:w="110"/>
            </w:tcMar>
          </w:tcPr>
          <w:p>
            <w:r>
              <w:rPr>
                <w:sz w:val="20"/>
                <w:szCs w:val="20"/>
              </w:rPr>
              <w:t xml:space="preserve">Python red teaming and testing frameworks that fit alongside existing evaluation tooling.</w:t>
            </w:r>
          </w:p>
        </w:tc>
      </w:tr>
    </w:tbl>
    <w:p>
      <w:pPr>
        <w:spacing w:after="120"/>
      </w:pPr>
    </w:p>
    <w:p>
      <w:pPr>
        <w:pStyle w:val="Heading2"/>
      </w:pPr>
      <w:r>
        <w:t xml:space="preserve">Agent and tool-network scanning</w:t>
      </w:r>
    </w:p>
    <w:p>
      <w:pPr>
        <w:pStyle w:val="ListParagraph"/>
        <w:numPr>
          <w:ilvl w:val="0"/>
          <w:numId w:val="2"/>
        </w:numPr>
        <w:spacing w:after="70"/>
      </w:pPr>
      <w:r>
        <w:rPr>
          <w:b/>
          <w:bCs/>
        </w:rPr>
        <w:t xml:space="preserve">Agent red teaming:</w:t>
      </w:r>
      <w:r>
        <w:t xml:space="preserve"> Promptfoo and PyRIT can target a full agent with tools, not only a model endpoint.</w:t>
      </w:r>
    </w:p>
    <w:p>
      <w:pPr>
        <w:pStyle w:val="ListParagraph"/>
        <w:numPr>
          <w:ilvl w:val="0"/>
          <w:numId w:val="2"/>
        </w:numPr>
        <w:spacing w:after="70"/>
      </w:pPr>
      <w:r>
        <w:rPr>
          <w:b/>
          <w:bCs/>
        </w:rPr>
        <w:t xml:space="preserve">MCP and agent configuration:</w:t>
      </w:r>
      <w:r>
        <w:t xml:space="preserve"> AgentAuditKit scans MCP-connected agent pipelines and claims full coverage of the OWASP Agentic and MCP Top 10 lists. It appears to be a single-maintainer project, so evaluate it before relying on it.</w:t>
      </w:r>
    </w:p>
    <w:p>
      <w:pPr>
        <w:pStyle w:val="ListParagraph"/>
        <w:numPr>
          <w:ilvl w:val="0"/>
          <w:numId w:val="2"/>
        </w:numPr>
        <w:spacing w:after="70"/>
      </w:pPr>
      <w:r>
        <w:rPr>
          <w:b/>
          <w:bCs/>
        </w:rPr>
        <w:t xml:space="preserve">Model file scanning:</w:t>
      </w:r>
      <w:r>
        <w:t xml:space="preserve"> ModelScan (Protect AI) checks model weight files for malicious serialized code. Verify its current maintenance status.</w:t>
      </w:r>
    </w:p>
    <w:p>
      <w:pPr>
        <w:pStyle w:val="Heading2"/>
      </w:pPr>
      <w:r>
        <w:t xml:space="preserve">Runtime guardrails (production)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5CCD6" w:sz="4"/>
              <w:left w:val="single" w:color="C5CCD6" w:sz="4"/>
              <w:bottom w:val="single" w:color="C5CCD6" w:sz="4"/>
              <w:right w:val="single" w:color="C5CCD6" w:sz="4"/>
            </w:tcBorders>
            <w:shd w:fill="1F3A5F" w:val="clear"/>
            <w:tcMar>
              <w:top w:type="dxa" w:w="70"/>
              <w:left w:type="dxa" w:w="110"/>
              <w:bottom w:type="dxa" w:w="70"/>
              <w:right w:type="dxa" w:w="110"/>
            </w:tcMar>
          </w:tcPr>
          <w:p>
            <w:r>
              <w:rPr>
                <w:b/>
                <w:bCs/>
                <w:color w:val="FFFFFF"/>
                <w:sz w:val="20"/>
                <w:szCs w:val="20"/>
              </w:rPr>
              <w:t xml:space="preserve">Component</w:t>
            </w:r>
          </w:p>
        </w:tc>
        <w:tc>
          <w:tcPr>
            <w:tcW w:type="dxa" w:w="6760"/>
            <w:tcBorders>
              <w:top w:val="single" w:color="C5CCD6" w:sz="4"/>
              <w:left w:val="single" w:color="C5CCD6" w:sz="4"/>
              <w:bottom w:val="single" w:color="C5CCD6" w:sz="4"/>
              <w:right w:val="single" w:color="C5CCD6" w:sz="4"/>
            </w:tcBorders>
            <w:shd w:fill="1F3A5F" w:val="clear"/>
            <w:tcMar>
              <w:top w:type="dxa" w:w="70"/>
              <w:left w:type="dxa" w:w="110"/>
              <w:bottom w:type="dxa" w:w="70"/>
              <w:right w:type="dxa" w:w="110"/>
            </w:tcMar>
          </w:tcPr>
          <w:p>
            <w:r>
              <w:rPr>
                <w:b/>
                <w:bCs/>
                <w:color w:val="FFFFFF"/>
                <w:sz w:val="20"/>
                <w:szCs w:val="20"/>
              </w:rPr>
              <w:t xml:space="preserve">Role</w:t>
            </w:r>
          </w:p>
        </w:tc>
      </w:tr>
      <w:tr>
        <w:trPr>
          <w:cantSplit/>
        </w:trPr>
        <w:tc>
          <w:tcPr>
            <w:tcW w:type="dxa" w:w="2600"/>
            <w:tcBorders>
              <w:top w:val="single" w:color="C5CCD6" w:sz="4"/>
              <w:left w:val="single" w:color="C5CCD6" w:sz="4"/>
              <w:bottom w:val="single" w:color="C5CCD6" w:sz="4"/>
              <w:right w:val="single" w:color="C5CCD6" w:sz="4"/>
            </w:tcBorders>
            <w:tcMar>
              <w:top w:type="dxa" w:w="70"/>
              <w:left w:type="dxa" w:w="110"/>
              <w:bottom w:type="dxa" w:w="70"/>
              <w:right w:type="dxa" w:w="110"/>
            </w:tcMar>
          </w:tcPr>
          <w:p>
            <w:r>
              <w:rPr>
                <w:b/>
                <w:bCs/>
                <w:sz w:val="20"/>
                <w:szCs w:val="20"/>
              </w:rPr>
              <w:t xml:space="preserve">Microsoft Presidio</w:t>
            </w:r>
          </w:p>
        </w:tc>
        <w:tc>
          <w:tcPr>
            <w:tcW w:type="dxa" w:w="6760"/>
            <w:tcBorders>
              <w:top w:val="single" w:color="C5CCD6" w:sz="4"/>
              <w:left w:val="single" w:color="C5CCD6" w:sz="4"/>
              <w:bottom w:val="single" w:color="C5CCD6" w:sz="4"/>
              <w:right w:val="single" w:color="C5CCD6" w:sz="4"/>
            </w:tcBorders>
            <w:tcMar>
              <w:top w:type="dxa" w:w="70"/>
              <w:left w:type="dxa" w:w="110"/>
              <w:bottom w:type="dxa" w:w="70"/>
              <w:right w:type="dxa" w:w="110"/>
            </w:tcMar>
          </w:tcPr>
          <w:p>
            <w:r>
              <w:rPr>
                <w:sz w:val="20"/>
                <w:szCs w:val="20"/>
              </w:rPr>
              <w:t xml:space="preserve">Detects and strips PII at ingress.</w:t>
            </w:r>
          </w:p>
        </w:tc>
      </w:tr>
      <w:tr>
        <w:trPr>
          <w:cantSplit/>
        </w:trPr>
        <w:tc>
          <w:tcPr>
            <w:tcW w:type="dxa" w:w="2600"/>
            <w:tcBorders>
              <w:top w:val="single" w:color="C5CCD6" w:sz="4"/>
              <w:left w:val="single" w:color="C5CCD6" w:sz="4"/>
              <w:bottom w:val="single" w:color="C5CCD6" w:sz="4"/>
              <w:right w:val="single" w:color="C5CCD6" w:sz="4"/>
            </w:tcBorders>
            <w:tcMar>
              <w:top w:type="dxa" w:w="70"/>
              <w:left w:type="dxa" w:w="110"/>
              <w:bottom w:type="dxa" w:w="70"/>
              <w:right w:type="dxa" w:w="110"/>
            </w:tcMar>
          </w:tcPr>
          <w:p>
            <w:r>
              <w:rPr>
                <w:b/>
                <w:bCs/>
                <w:sz w:val="20"/>
                <w:szCs w:val="20"/>
              </w:rPr>
              <w:t xml:space="preserve">Prompt Guard 2</w:t>
            </w:r>
            <w:r>
              <w:rPr>
                <w:sz w:val="20"/>
                <w:szCs w:val="20"/>
              </w:rPr>
              <w:t xml:space="preserve"> (Meta)</w:t>
            </w:r>
          </w:p>
        </w:tc>
        <w:tc>
          <w:tcPr>
            <w:tcW w:type="dxa" w:w="6760"/>
            <w:tcBorders>
              <w:top w:val="single" w:color="C5CCD6" w:sz="4"/>
              <w:left w:val="single" w:color="C5CCD6" w:sz="4"/>
              <w:bottom w:val="single" w:color="C5CCD6" w:sz="4"/>
              <w:right w:val="single" w:color="C5CCD6" w:sz="4"/>
            </w:tcBorders>
            <w:tcMar>
              <w:top w:type="dxa" w:w="70"/>
              <w:left w:type="dxa" w:w="110"/>
              <w:bottom w:type="dxa" w:w="70"/>
              <w:right w:type="dxa" w:w="110"/>
            </w:tcMar>
          </w:tcPr>
          <w:p>
            <w:r>
              <w:rPr>
                <w:sz w:val="20"/>
                <w:szCs w:val="20"/>
              </w:rPr>
              <w:t xml:space="preserve">Inline prompt injection classifier.</w:t>
            </w:r>
          </w:p>
        </w:tc>
      </w:tr>
      <w:tr>
        <w:trPr>
          <w:cantSplit/>
        </w:trPr>
        <w:tc>
          <w:tcPr>
            <w:tcW w:type="dxa" w:w="2600"/>
            <w:tcBorders>
              <w:top w:val="single" w:color="C5CCD6" w:sz="4"/>
              <w:left w:val="single" w:color="C5CCD6" w:sz="4"/>
              <w:bottom w:val="single" w:color="C5CCD6" w:sz="4"/>
              <w:right w:val="single" w:color="C5CCD6" w:sz="4"/>
            </w:tcBorders>
            <w:tcMar>
              <w:top w:type="dxa" w:w="70"/>
              <w:left w:type="dxa" w:w="110"/>
              <w:bottom w:type="dxa" w:w="70"/>
              <w:right w:type="dxa" w:w="110"/>
            </w:tcMar>
          </w:tcPr>
          <w:p>
            <w:r>
              <w:rPr>
                <w:b/>
                <w:bCs/>
                <w:sz w:val="20"/>
                <w:szCs w:val="20"/>
              </w:rPr>
              <w:t xml:space="preserve">NeMo Guardrails</w:t>
            </w:r>
            <w:r>
              <w:rPr>
                <w:sz w:val="20"/>
                <w:szCs w:val="20"/>
              </w:rPr>
              <w:t xml:space="preserve"> (NVIDIA)</w:t>
            </w:r>
          </w:p>
        </w:tc>
        <w:tc>
          <w:tcPr>
            <w:tcW w:type="dxa" w:w="6760"/>
            <w:tcBorders>
              <w:top w:val="single" w:color="C5CCD6" w:sz="4"/>
              <w:left w:val="single" w:color="C5CCD6" w:sz="4"/>
              <w:bottom w:val="single" w:color="C5CCD6" w:sz="4"/>
              <w:right w:val="single" w:color="C5CCD6" w:sz="4"/>
            </w:tcBorders>
            <w:tcMar>
              <w:top w:type="dxa" w:w="70"/>
              <w:left w:type="dxa" w:w="110"/>
              <w:bottom w:type="dxa" w:w="70"/>
              <w:right w:type="dxa" w:w="110"/>
            </w:tcMar>
          </w:tcPr>
          <w:p>
            <w:r>
              <w:rPr>
                <w:sz w:val="20"/>
                <w:szCs w:val="20"/>
              </w:rPr>
              <w:t xml:space="preserve">Orchestrates dialog policy and input/output rails.</w:t>
            </w:r>
          </w:p>
        </w:tc>
      </w:tr>
      <w:tr>
        <w:trPr>
          <w:cantSplit/>
        </w:trPr>
        <w:tc>
          <w:tcPr>
            <w:tcW w:type="dxa" w:w="2600"/>
            <w:tcBorders>
              <w:top w:val="single" w:color="C5CCD6" w:sz="4"/>
              <w:left w:val="single" w:color="C5CCD6" w:sz="4"/>
              <w:bottom w:val="single" w:color="C5CCD6" w:sz="4"/>
              <w:right w:val="single" w:color="C5CCD6" w:sz="4"/>
            </w:tcBorders>
            <w:tcMar>
              <w:top w:type="dxa" w:w="70"/>
              <w:left w:type="dxa" w:w="110"/>
              <w:bottom w:type="dxa" w:w="70"/>
              <w:right w:type="dxa" w:w="110"/>
            </w:tcMar>
          </w:tcPr>
          <w:p>
            <w:r>
              <w:rPr>
                <w:b/>
                <w:bCs/>
                <w:sz w:val="20"/>
                <w:szCs w:val="20"/>
              </w:rPr>
              <w:t xml:space="preserve">Llama Guard 4</w:t>
            </w:r>
            <w:r>
              <w:rPr>
                <w:sz w:val="20"/>
                <w:szCs w:val="20"/>
              </w:rPr>
              <w:t xml:space="preserve"> (Meta)</w:t>
            </w:r>
          </w:p>
        </w:tc>
        <w:tc>
          <w:tcPr>
            <w:tcW w:type="dxa" w:w="6760"/>
            <w:tcBorders>
              <w:top w:val="single" w:color="C5CCD6" w:sz="4"/>
              <w:left w:val="single" w:color="C5CCD6" w:sz="4"/>
              <w:bottom w:val="single" w:color="C5CCD6" w:sz="4"/>
              <w:right w:val="single" w:color="C5CCD6" w:sz="4"/>
            </w:tcBorders>
            <w:tcMar>
              <w:top w:type="dxa" w:w="70"/>
              <w:left w:type="dxa" w:w="110"/>
              <w:bottom w:type="dxa" w:w="70"/>
              <w:right w:type="dxa" w:w="110"/>
            </w:tcMar>
          </w:tcPr>
          <w:p>
            <w:r>
              <w:rPr>
                <w:sz w:val="20"/>
                <w:szCs w:val="20"/>
              </w:rPr>
              <w:t xml:space="preserve">Classifies output safety.</w:t>
            </w:r>
          </w:p>
        </w:tc>
      </w:tr>
      <w:tr>
        <w:trPr>
          <w:cantSplit/>
        </w:trPr>
        <w:tc>
          <w:tcPr>
            <w:tcW w:type="dxa" w:w="2600"/>
            <w:tcBorders>
              <w:top w:val="single" w:color="C5CCD6" w:sz="4"/>
              <w:left w:val="single" w:color="C5CCD6" w:sz="4"/>
              <w:bottom w:val="single" w:color="C5CCD6" w:sz="4"/>
              <w:right w:val="single" w:color="C5CCD6" w:sz="4"/>
            </w:tcBorders>
            <w:tcMar>
              <w:top w:type="dxa" w:w="70"/>
              <w:left w:type="dxa" w:w="110"/>
              <w:bottom w:type="dxa" w:w="70"/>
              <w:right w:type="dxa" w:w="110"/>
            </w:tcMar>
          </w:tcPr>
          <w:p>
            <w:r>
              <w:rPr>
                <w:b/>
                <w:bCs/>
                <w:sz w:val="20"/>
                <w:szCs w:val="20"/>
              </w:rPr>
              <w:t xml:space="preserve">LLM Guard</w:t>
            </w:r>
          </w:p>
        </w:tc>
        <w:tc>
          <w:tcPr>
            <w:tcW w:type="dxa" w:w="6760"/>
            <w:tcBorders>
              <w:top w:val="single" w:color="C5CCD6" w:sz="4"/>
              <w:left w:val="single" w:color="C5CCD6" w:sz="4"/>
              <w:bottom w:val="single" w:color="C5CCD6" w:sz="4"/>
              <w:right w:val="single" w:color="C5CCD6" w:sz="4"/>
            </w:tcBorders>
            <w:tcMar>
              <w:top w:type="dxa" w:w="70"/>
              <w:left w:type="dxa" w:w="110"/>
              <w:bottom w:type="dxa" w:w="70"/>
              <w:right w:type="dxa" w:w="110"/>
            </w:tcMar>
          </w:tcPr>
          <w:p>
            <w:r>
              <w:rPr>
                <w:sz w:val="20"/>
                <w:szCs w:val="20"/>
              </w:rPr>
              <w:t xml:space="preserve">Modular alternative for input and output scanning.</w:t>
            </w:r>
          </w:p>
        </w:tc>
      </w:tr>
      <w:tr>
        <w:trPr>
          <w:cantSplit/>
        </w:trPr>
        <w:tc>
          <w:tcPr>
            <w:tcW w:type="dxa" w:w="2600"/>
            <w:tcBorders>
              <w:top w:val="single" w:color="C5CCD6" w:sz="4"/>
              <w:left w:val="single" w:color="C5CCD6" w:sz="4"/>
              <w:bottom w:val="single" w:color="C5CCD6" w:sz="4"/>
              <w:right w:val="single" w:color="C5CCD6" w:sz="4"/>
            </w:tcBorders>
            <w:tcMar>
              <w:top w:type="dxa" w:w="70"/>
              <w:left w:type="dxa" w:w="110"/>
              <w:bottom w:type="dxa" w:w="70"/>
              <w:right w:type="dxa" w:w="110"/>
            </w:tcMar>
          </w:tcPr>
          <w:p>
            <w:r>
              <w:rPr>
                <w:sz w:val="20"/>
                <w:szCs w:val="20"/>
              </w:rPr>
              <w:t xml:space="preserve">Schema validator</w:t>
            </w:r>
          </w:p>
        </w:tc>
        <w:tc>
          <w:tcPr>
            <w:tcW w:type="dxa" w:w="6760"/>
            <w:tcBorders>
              <w:top w:val="single" w:color="C5CCD6" w:sz="4"/>
              <w:left w:val="single" w:color="C5CCD6" w:sz="4"/>
              <w:bottom w:val="single" w:color="C5CCD6" w:sz="4"/>
              <w:right w:val="single" w:color="C5CCD6" w:sz="4"/>
            </w:tcBorders>
            <w:tcMar>
              <w:top w:type="dxa" w:w="70"/>
              <w:left w:type="dxa" w:w="110"/>
              <w:bottom w:type="dxa" w:w="70"/>
              <w:right w:type="dxa" w:w="110"/>
            </w:tcMar>
          </w:tcPr>
          <w:p>
            <w:r>
              <w:rPr>
                <w:sz w:val="20"/>
                <w:szCs w:val="20"/>
              </w:rPr>
              <w:t xml:space="preserve">Gates structured output before downstream systems consume it.</w:t>
            </w:r>
          </w:p>
        </w:tc>
      </w:tr>
    </w:tbl>
    <w:p>
      <w:pPr>
        <w:spacing w:after="120"/>
      </w:pPr>
    </w:p>
    <w:p>
      <w:pPr>
        <w:spacing w:after="140"/>
      </w:pPr>
      <w:r>
        <w:t xml:space="preserve">For agents, text guardrails are not enough. Add least-privilege tool permissions, human approval on destructive actions, and logging of every tool call.</w:t>
      </w:r>
    </w:p>
    <w:p>
      <w:pPr>
        <w:pStyle w:val="Heading1"/>
      </w:pPr>
      <w:r>
        <w:t xml:space="preserve">3. Risks that originate inside an LLM</w:t>
      </w:r>
    </w:p>
    <w:p>
      <w:pPr>
        <w:spacing w:after="140"/>
      </w:pPr>
      <w:r>
        <w:t xml:space="preserve">These are threats that come from the model’s own weights, behavior, or outputs, as opposed to an external attacker typing a malicious prompt. Most map to the OWASP Top 10 for LLM Applications and the OWASP Agentic Top 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50"/>
        <w:gridCol w:w="3900"/>
        <w:gridCol w:w="3310"/>
      </w:tblGrid>
      <w:tr>
        <w:trPr>
          <w:tblHeader/>
        </w:trPr>
        <w:tc>
          <w:tcPr>
            <w:tcW w:type="dxa" w:w="2150"/>
            <w:tcBorders>
              <w:top w:val="single" w:color="C5CCD6" w:sz="4"/>
              <w:left w:val="single" w:color="C5CCD6" w:sz="4"/>
              <w:bottom w:val="single" w:color="C5CCD6" w:sz="4"/>
              <w:right w:val="single" w:color="C5CCD6" w:sz="4"/>
            </w:tcBorders>
            <w:shd w:fill="1F3A5F" w:val="clear"/>
            <w:tcMar>
              <w:top w:type="dxa" w:w="70"/>
              <w:left w:type="dxa" w:w="110"/>
              <w:bottom w:type="dxa" w:w="70"/>
              <w:right w:type="dxa" w:w="110"/>
            </w:tcMar>
          </w:tcPr>
          <w:p>
            <w:r>
              <w:rPr>
                <w:b/>
                <w:bCs/>
                <w:color w:val="FFFFFF"/>
                <w:sz w:val="20"/>
                <w:szCs w:val="20"/>
              </w:rPr>
              <w:t xml:space="preserve">Risk</w:t>
            </w:r>
          </w:p>
        </w:tc>
        <w:tc>
          <w:tcPr>
            <w:tcW w:type="dxa" w:w="3900"/>
            <w:tcBorders>
              <w:top w:val="single" w:color="C5CCD6" w:sz="4"/>
              <w:left w:val="single" w:color="C5CCD6" w:sz="4"/>
              <w:bottom w:val="single" w:color="C5CCD6" w:sz="4"/>
              <w:right w:val="single" w:color="C5CCD6" w:sz="4"/>
            </w:tcBorders>
            <w:shd w:fill="1F3A5F" w:val="clear"/>
            <w:tcMar>
              <w:top w:type="dxa" w:w="70"/>
              <w:left w:type="dxa" w:w="110"/>
              <w:bottom w:type="dxa" w:w="70"/>
              <w:right w:type="dxa" w:w="110"/>
            </w:tcMar>
          </w:tcPr>
          <w:p>
            <w:r>
              <w:rPr>
                <w:b/>
                <w:bCs/>
                <w:color w:val="FFFFFF"/>
                <w:sz w:val="20"/>
                <w:szCs w:val="20"/>
              </w:rPr>
              <w:t xml:space="preserve">What happens</w:t>
            </w:r>
          </w:p>
        </w:tc>
        <w:tc>
          <w:tcPr>
            <w:tcW w:type="dxa" w:w="3310"/>
            <w:tcBorders>
              <w:top w:val="single" w:color="C5CCD6" w:sz="4"/>
              <w:left w:val="single" w:color="C5CCD6" w:sz="4"/>
              <w:bottom w:val="single" w:color="C5CCD6" w:sz="4"/>
              <w:right w:val="single" w:color="C5CCD6" w:sz="4"/>
            </w:tcBorders>
            <w:shd w:fill="1F3A5F" w:val="clear"/>
            <w:tcMar>
              <w:top w:type="dxa" w:w="70"/>
              <w:left w:type="dxa" w:w="110"/>
              <w:bottom w:type="dxa" w:w="70"/>
              <w:right w:type="dxa" w:w="110"/>
            </w:tcMar>
          </w:tcPr>
          <w:p>
            <w:r>
              <w:rPr>
                <w:b/>
                <w:bCs/>
                <w:color w:val="FFFFFF"/>
                <w:sz w:val="20"/>
                <w:szCs w:val="20"/>
              </w:rPr>
              <w:t xml:space="preserve">How to detect or reduce it</w:t>
            </w:r>
          </w:p>
        </w:tc>
      </w:tr>
      <w:tr>
        <w:trPr>
          <w:cantSplit/>
        </w:trPr>
        <w:tc>
          <w:tcPr>
            <w:tcW w:type="dxa" w:w="2150"/>
            <w:tcBorders>
              <w:top w:val="single" w:color="C5CCD6" w:sz="4"/>
              <w:left w:val="single" w:color="C5CCD6" w:sz="4"/>
              <w:bottom w:val="single" w:color="C5CCD6" w:sz="4"/>
              <w:right w:val="single" w:color="C5CCD6" w:sz="4"/>
            </w:tcBorders>
            <w:tcMar>
              <w:top w:type="dxa" w:w="70"/>
              <w:left w:type="dxa" w:w="110"/>
              <w:bottom w:type="dxa" w:w="70"/>
              <w:right w:type="dxa" w:w="110"/>
            </w:tcMar>
          </w:tcPr>
          <w:p>
            <w:r>
              <w:rPr>
                <w:b/>
                <w:bCs/>
                <w:sz w:val="20"/>
                <w:szCs w:val="20"/>
              </w:rPr>
              <w:t xml:space="preserve">Backdoors and poisoned weights</w:t>
            </w:r>
          </w:p>
        </w:tc>
        <w:tc>
          <w:tcPr>
            <w:tcW w:type="dxa" w:w="3900"/>
            <w:tcBorders>
              <w:top w:val="single" w:color="C5CCD6" w:sz="4"/>
              <w:left w:val="single" w:color="C5CCD6" w:sz="4"/>
              <w:bottom w:val="single" w:color="C5CCD6" w:sz="4"/>
              <w:right w:val="single" w:color="C5CCD6" w:sz="4"/>
            </w:tcBorders>
            <w:tcMar>
              <w:top w:type="dxa" w:w="70"/>
              <w:left w:type="dxa" w:w="110"/>
              <w:bottom w:type="dxa" w:w="70"/>
              <w:right w:type="dxa" w:w="110"/>
            </w:tcMar>
          </w:tcPr>
          <w:p>
            <w:r>
              <w:rPr>
                <w:sz w:val="20"/>
                <w:szCs w:val="20"/>
              </w:rPr>
              <w:t xml:space="preserve">Training or fine-tuning data was tampered with, so the model behaves normally until a hidden trigger phrase activates malicious behavior.</w:t>
            </w:r>
          </w:p>
        </w:tc>
        <w:tc>
          <w:tcPr>
            <w:tcW w:type="dxa" w:w="3310"/>
            <w:tcBorders>
              <w:top w:val="single" w:color="C5CCD6" w:sz="4"/>
              <w:left w:val="single" w:color="C5CCD6" w:sz="4"/>
              <w:bottom w:val="single" w:color="C5CCD6" w:sz="4"/>
              <w:right w:val="single" w:color="C5CCD6" w:sz="4"/>
            </w:tcBorders>
            <w:tcMar>
              <w:top w:type="dxa" w:w="70"/>
              <w:left w:type="dxa" w:w="110"/>
              <w:bottom w:type="dxa" w:w="70"/>
              <w:right w:type="dxa" w:w="110"/>
            </w:tcMar>
          </w:tcPr>
          <w:p>
            <w:r>
              <w:rPr>
                <w:sz w:val="20"/>
                <w:szCs w:val="20"/>
              </w:rPr>
              <w:t xml:space="preserve">Use trusted model sources, verify hashes and provenance, and run behavioral scans (Garak) on every new model version.</w:t>
            </w:r>
          </w:p>
        </w:tc>
      </w:tr>
      <w:tr>
        <w:trPr>
          <w:cantSplit/>
        </w:trPr>
        <w:tc>
          <w:tcPr>
            <w:tcW w:type="dxa" w:w="2150"/>
            <w:tcBorders>
              <w:top w:val="single" w:color="C5CCD6" w:sz="4"/>
              <w:left w:val="single" w:color="C5CCD6" w:sz="4"/>
              <w:bottom w:val="single" w:color="C5CCD6" w:sz="4"/>
              <w:right w:val="single" w:color="C5CCD6" w:sz="4"/>
            </w:tcBorders>
            <w:tcMar>
              <w:top w:type="dxa" w:w="70"/>
              <w:left w:type="dxa" w:w="110"/>
              <w:bottom w:type="dxa" w:w="70"/>
              <w:right w:type="dxa" w:w="110"/>
            </w:tcMar>
          </w:tcPr>
          <w:p>
            <w:r>
              <w:rPr>
                <w:b/>
                <w:bCs/>
                <w:sz w:val="20"/>
                <w:szCs w:val="20"/>
              </w:rPr>
              <w:t xml:space="preserve">Malicious model files</w:t>
            </w:r>
          </w:p>
        </w:tc>
        <w:tc>
          <w:tcPr>
            <w:tcW w:type="dxa" w:w="3900"/>
            <w:tcBorders>
              <w:top w:val="single" w:color="C5CCD6" w:sz="4"/>
              <w:left w:val="single" w:color="C5CCD6" w:sz="4"/>
              <w:bottom w:val="single" w:color="C5CCD6" w:sz="4"/>
              <w:right w:val="single" w:color="C5CCD6" w:sz="4"/>
            </w:tcBorders>
            <w:tcMar>
              <w:top w:type="dxa" w:w="70"/>
              <w:left w:type="dxa" w:w="110"/>
              <w:bottom w:type="dxa" w:w="70"/>
              <w:right w:type="dxa" w:w="110"/>
            </w:tcMar>
          </w:tcPr>
          <w:p>
            <w:r>
              <w:rPr>
                <w:sz w:val="20"/>
                <w:szCs w:val="20"/>
              </w:rPr>
              <w:t xml:space="preserve">Serialized formats such as pickle can execute code when the model is loaded, compromising the host before any prompt is sent.</w:t>
            </w:r>
          </w:p>
        </w:tc>
        <w:tc>
          <w:tcPr>
            <w:tcW w:type="dxa" w:w="3310"/>
            <w:tcBorders>
              <w:top w:val="single" w:color="C5CCD6" w:sz="4"/>
              <w:left w:val="single" w:color="C5CCD6" w:sz="4"/>
              <w:bottom w:val="single" w:color="C5CCD6" w:sz="4"/>
              <w:right w:val="single" w:color="C5CCD6" w:sz="4"/>
            </w:tcBorders>
            <w:tcMar>
              <w:top w:type="dxa" w:w="70"/>
              <w:left w:type="dxa" w:w="110"/>
              <w:bottom w:type="dxa" w:w="70"/>
              <w:right w:type="dxa" w:w="110"/>
            </w:tcMar>
          </w:tcPr>
          <w:p>
            <w:r>
              <w:rPr>
                <w:sz w:val="20"/>
                <w:szCs w:val="20"/>
              </w:rPr>
              <w:t xml:space="preserve">Prefer safetensors, and scan files with ModelScan before loading.</w:t>
            </w:r>
          </w:p>
        </w:tc>
      </w:tr>
      <w:tr>
        <w:trPr>
          <w:cantSplit/>
        </w:trPr>
        <w:tc>
          <w:tcPr>
            <w:tcW w:type="dxa" w:w="2150"/>
            <w:tcBorders>
              <w:top w:val="single" w:color="C5CCD6" w:sz="4"/>
              <w:left w:val="single" w:color="C5CCD6" w:sz="4"/>
              <w:bottom w:val="single" w:color="C5CCD6" w:sz="4"/>
              <w:right w:val="single" w:color="C5CCD6" w:sz="4"/>
            </w:tcBorders>
            <w:tcMar>
              <w:top w:type="dxa" w:w="70"/>
              <w:left w:type="dxa" w:w="110"/>
              <w:bottom w:type="dxa" w:w="70"/>
              <w:right w:type="dxa" w:w="110"/>
            </w:tcMar>
          </w:tcPr>
          <w:p>
            <w:r>
              <w:rPr>
                <w:b/>
                <w:bCs/>
                <w:sz w:val="20"/>
                <w:szCs w:val="20"/>
              </w:rPr>
              <w:t xml:space="preserve">Training data leakage</w:t>
            </w:r>
          </w:p>
        </w:tc>
        <w:tc>
          <w:tcPr>
            <w:tcW w:type="dxa" w:w="3900"/>
            <w:tcBorders>
              <w:top w:val="single" w:color="C5CCD6" w:sz="4"/>
              <w:left w:val="single" w:color="C5CCD6" w:sz="4"/>
              <w:bottom w:val="single" w:color="C5CCD6" w:sz="4"/>
              <w:right w:val="single" w:color="C5CCD6" w:sz="4"/>
            </w:tcBorders>
            <w:tcMar>
              <w:top w:type="dxa" w:w="70"/>
              <w:left w:type="dxa" w:w="110"/>
              <w:bottom w:type="dxa" w:w="70"/>
              <w:right w:type="dxa" w:w="110"/>
            </w:tcMar>
          </w:tcPr>
          <w:p>
            <w:r>
              <w:rPr>
                <w:sz w:val="20"/>
                <w:szCs w:val="20"/>
              </w:rPr>
              <w:t xml:space="preserve">The model reproduces memorized secrets, PII, or proprietary text from its training or fine-tuning data.</w:t>
            </w:r>
          </w:p>
        </w:tc>
        <w:tc>
          <w:tcPr>
            <w:tcW w:type="dxa" w:w="3310"/>
            <w:tcBorders>
              <w:top w:val="single" w:color="C5CCD6" w:sz="4"/>
              <w:left w:val="single" w:color="C5CCD6" w:sz="4"/>
              <w:bottom w:val="single" w:color="C5CCD6" w:sz="4"/>
              <w:right w:val="single" w:color="C5CCD6" w:sz="4"/>
            </w:tcBorders>
            <w:tcMar>
              <w:top w:type="dxa" w:w="70"/>
              <w:left w:type="dxa" w:w="110"/>
              <w:bottom w:type="dxa" w:w="70"/>
              <w:right w:type="dxa" w:w="110"/>
            </w:tcMar>
          </w:tcPr>
          <w:p>
            <w:r>
              <w:rPr>
                <w:sz w:val="20"/>
                <w:szCs w:val="20"/>
              </w:rPr>
              <w:t xml:space="preserve">Garak leakage probes; PII filtering on output (Presidio); keep secrets out of fine-tuning data.</w:t>
            </w:r>
          </w:p>
        </w:tc>
      </w:tr>
      <w:tr>
        <w:trPr>
          <w:cantSplit/>
        </w:trPr>
        <w:tc>
          <w:tcPr>
            <w:tcW w:type="dxa" w:w="2150"/>
            <w:tcBorders>
              <w:top w:val="single" w:color="C5CCD6" w:sz="4"/>
              <w:left w:val="single" w:color="C5CCD6" w:sz="4"/>
              <w:bottom w:val="single" w:color="C5CCD6" w:sz="4"/>
              <w:right w:val="single" w:color="C5CCD6" w:sz="4"/>
            </w:tcBorders>
            <w:tcMar>
              <w:top w:type="dxa" w:w="70"/>
              <w:left w:type="dxa" w:w="110"/>
              <w:bottom w:type="dxa" w:w="70"/>
              <w:right w:type="dxa" w:w="110"/>
            </w:tcMar>
          </w:tcPr>
          <w:p>
            <w:r>
              <w:rPr>
                <w:b/>
                <w:bCs/>
                <w:sz w:val="20"/>
                <w:szCs w:val="20"/>
              </w:rPr>
              <w:t xml:space="preserve">System prompt leakage</w:t>
            </w:r>
          </w:p>
        </w:tc>
        <w:tc>
          <w:tcPr>
            <w:tcW w:type="dxa" w:w="3900"/>
            <w:tcBorders>
              <w:top w:val="single" w:color="C5CCD6" w:sz="4"/>
              <w:left w:val="single" w:color="C5CCD6" w:sz="4"/>
              <w:bottom w:val="single" w:color="C5CCD6" w:sz="4"/>
              <w:right w:val="single" w:color="C5CCD6" w:sz="4"/>
            </w:tcBorders>
            <w:tcMar>
              <w:top w:type="dxa" w:w="70"/>
              <w:left w:type="dxa" w:w="110"/>
              <w:bottom w:type="dxa" w:w="70"/>
              <w:right w:type="dxa" w:w="110"/>
            </w:tcMar>
          </w:tcPr>
          <w:p>
            <w:r>
              <w:rPr>
                <w:sz w:val="20"/>
                <w:szCs w:val="20"/>
              </w:rPr>
              <w:t xml:space="preserve">The model reveals its instructions, internal rules, or embedded credentials.</w:t>
            </w:r>
          </w:p>
        </w:tc>
        <w:tc>
          <w:tcPr>
            <w:tcW w:type="dxa" w:w="3310"/>
            <w:tcBorders>
              <w:top w:val="single" w:color="C5CCD6" w:sz="4"/>
              <w:left w:val="single" w:color="C5CCD6" w:sz="4"/>
              <w:bottom w:val="single" w:color="C5CCD6" w:sz="4"/>
              <w:right w:val="single" w:color="C5CCD6" w:sz="4"/>
            </w:tcBorders>
            <w:tcMar>
              <w:top w:type="dxa" w:w="70"/>
              <w:left w:type="dxa" w:w="110"/>
              <w:bottom w:type="dxa" w:w="70"/>
              <w:right w:type="dxa" w:w="110"/>
            </w:tcMar>
          </w:tcPr>
          <w:p>
            <w:r>
              <w:rPr>
                <w:sz w:val="20"/>
                <w:szCs w:val="20"/>
              </w:rPr>
              <w:t xml:space="preserve">Never put secrets in prompts; test with prompt-extraction probes.</w:t>
            </w:r>
          </w:p>
        </w:tc>
      </w:tr>
      <w:tr>
        <w:trPr>
          <w:cantSplit/>
        </w:trPr>
        <w:tc>
          <w:tcPr>
            <w:tcW w:type="dxa" w:w="2150"/>
            <w:tcBorders>
              <w:top w:val="single" w:color="C5CCD6" w:sz="4"/>
              <w:left w:val="single" w:color="C5CCD6" w:sz="4"/>
              <w:bottom w:val="single" w:color="C5CCD6" w:sz="4"/>
              <w:right w:val="single" w:color="C5CCD6" w:sz="4"/>
            </w:tcBorders>
            <w:tcMar>
              <w:top w:type="dxa" w:w="70"/>
              <w:left w:type="dxa" w:w="110"/>
              <w:bottom w:type="dxa" w:w="70"/>
              <w:right w:type="dxa" w:w="110"/>
            </w:tcMar>
          </w:tcPr>
          <w:p>
            <w:r>
              <w:rPr>
                <w:b/>
                <w:bCs/>
                <w:sz w:val="20"/>
                <w:szCs w:val="20"/>
              </w:rPr>
              <w:t xml:space="preserve">Hallucination</w:t>
            </w:r>
          </w:p>
        </w:tc>
        <w:tc>
          <w:tcPr>
            <w:tcW w:type="dxa" w:w="3900"/>
            <w:tcBorders>
              <w:top w:val="single" w:color="C5CCD6" w:sz="4"/>
              <w:left w:val="single" w:color="C5CCD6" w:sz="4"/>
              <w:bottom w:val="single" w:color="C5CCD6" w:sz="4"/>
              <w:right w:val="single" w:color="C5CCD6" w:sz="4"/>
            </w:tcBorders>
            <w:tcMar>
              <w:top w:type="dxa" w:w="70"/>
              <w:left w:type="dxa" w:w="110"/>
              <w:bottom w:type="dxa" w:w="70"/>
              <w:right w:type="dxa" w:w="110"/>
            </w:tcMar>
          </w:tcPr>
          <w:p>
            <w:r>
              <w:rPr>
                <w:sz w:val="20"/>
                <w:szCs w:val="20"/>
              </w:rPr>
              <w:t xml:space="preserve">The model states false information confidently. A security-specific case is inventing package names that attackers then register (slopsquatting).</w:t>
            </w:r>
          </w:p>
        </w:tc>
        <w:tc>
          <w:tcPr>
            <w:tcW w:type="dxa" w:w="3310"/>
            <w:tcBorders>
              <w:top w:val="single" w:color="C5CCD6" w:sz="4"/>
              <w:left w:val="single" w:color="C5CCD6" w:sz="4"/>
              <w:bottom w:val="single" w:color="C5CCD6" w:sz="4"/>
              <w:right w:val="single" w:color="C5CCD6" w:sz="4"/>
            </w:tcBorders>
            <w:tcMar>
              <w:top w:type="dxa" w:w="70"/>
              <w:left w:type="dxa" w:w="110"/>
              <w:bottom w:type="dxa" w:w="70"/>
              <w:right w:type="dxa" w:w="110"/>
            </w:tcMar>
          </w:tcPr>
          <w:p>
            <w:r>
              <w:rPr>
                <w:sz w:val="20"/>
                <w:szCs w:val="20"/>
              </w:rPr>
              <w:t xml:space="preserve">Garak package hallucination probes; grounding checks; dependency allowlists.</w:t>
            </w:r>
          </w:p>
        </w:tc>
      </w:tr>
      <w:tr>
        <w:trPr>
          <w:cantSplit/>
        </w:trPr>
        <w:tc>
          <w:tcPr>
            <w:tcW w:type="dxa" w:w="2150"/>
            <w:tcBorders>
              <w:top w:val="single" w:color="C5CCD6" w:sz="4"/>
              <w:left w:val="single" w:color="C5CCD6" w:sz="4"/>
              <w:bottom w:val="single" w:color="C5CCD6" w:sz="4"/>
              <w:right w:val="single" w:color="C5CCD6" w:sz="4"/>
            </w:tcBorders>
            <w:tcMar>
              <w:top w:type="dxa" w:w="70"/>
              <w:left w:type="dxa" w:w="110"/>
              <w:bottom w:type="dxa" w:w="70"/>
              <w:right w:type="dxa" w:w="110"/>
            </w:tcMar>
          </w:tcPr>
          <w:p>
            <w:r>
              <w:rPr>
                <w:b/>
                <w:bCs/>
                <w:sz w:val="20"/>
                <w:szCs w:val="20"/>
              </w:rPr>
              <w:t xml:space="preserve">Unsafe output</w:t>
            </w:r>
          </w:p>
        </w:tc>
        <w:tc>
          <w:tcPr>
            <w:tcW w:type="dxa" w:w="3900"/>
            <w:tcBorders>
              <w:top w:val="single" w:color="C5CCD6" w:sz="4"/>
              <w:left w:val="single" w:color="C5CCD6" w:sz="4"/>
              <w:bottom w:val="single" w:color="C5CCD6" w:sz="4"/>
              <w:right w:val="single" w:color="C5CCD6" w:sz="4"/>
            </w:tcBorders>
            <w:tcMar>
              <w:top w:type="dxa" w:w="70"/>
              <w:left w:type="dxa" w:w="110"/>
              <w:bottom w:type="dxa" w:w="70"/>
              <w:right w:type="dxa" w:w="110"/>
            </w:tcMar>
          </w:tcPr>
          <w:p>
            <w:r>
              <w:rPr>
                <w:sz w:val="20"/>
                <w:szCs w:val="20"/>
              </w:rPr>
              <w:t xml:space="preserve">The model emits XSS, SQL, shell commands, or markdown links that exfiltrate data when a downstream system renders or executes them.</w:t>
            </w:r>
          </w:p>
        </w:tc>
        <w:tc>
          <w:tcPr>
            <w:tcW w:type="dxa" w:w="3310"/>
            <w:tcBorders>
              <w:top w:val="single" w:color="C5CCD6" w:sz="4"/>
              <w:left w:val="single" w:color="C5CCD6" w:sz="4"/>
              <w:bottom w:val="single" w:color="C5CCD6" w:sz="4"/>
              <w:right w:val="single" w:color="C5CCD6" w:sz="4"/>
            </w:tcBorders>
            <w:tcMar>
              <w:top w:type="dxa" w:w="70"/>
              <w:left w:type="dxa" w:w="110"/>
              <w:bottom w:type="dxa" w:w="70"/>
              <w:right w:type="dxa" w:w="110"/>
            </w:tcMar>
          </w:tcPr>
          <w:p>
            <w:r>
              <w:rPr>
                <w:sz w:val="20"/>
                <w:szCs w:val="20"/>
              </w:rPr>
              <w:t xml:space="preserve">Treat all model output as untrusted input: encode, validate, and sandbox it.</w:t>
            </w:r>
          </w:p>
        </w:tc>
      </w:tr>
      <w:tr>
        <w:trPr>
          <w:cantSplit/>
        </w:trPr>
        <w:tc>
          <w:tcPr>
            <w:tcW w:type="dxa" w:w="2150"/>
            <w:tcBorders>
              <w:top w:val="single" w:color="C5CCD6" w:sz="4"/>
              <w:left w:val="single" w:color="C5CCD6" w:sz="4"/>
              <w:bottom w:val="single" w:color="C5CCD6" w:sz="4"/>
              <w:right w:val="single" w:color="C5CCD6" w:sz="4"/>
            </w:tcBorders>
            <w:tcMar>
              <w:top w:type="dxa" w:w="70"/>
              <w:left w:type="dxa" w:w="110"/>
              <w:bottom w:type="dxa" w:w="70"/>
              <w:right w:type="dxa" w:w="110"/>
            </w:tcMar>
          </w:tcPr>
          <w:p>
            <w:r>
              <w:rPr>
                <w:b/>
                <w:bCs/>
                <w:sz w:val="20"/>
                <w:szCs w:val="20"/>
              </w:rPr>
              <w:t xml:space="preserve">Self-prompting and runaway loops</w:t>
            </w:r>
          </w:p>
        </w:tc>
        <w:tc>
          <w:tcPr>
            <w:tcW w:type="dxa" w:w="3900"/>
            <w:tcBorders>
              <w:top w:val="single" w:color="C5CCD6" w:sz="4"/>
              <w:left w:val="single" w:color="C5CCD6" w:sz="4"/>
              <w:bottom w:val="single" w:color="C5CCD6" w:sz="4"/>
              <w:right w:val="single" w:color="C5CCD6" w:sz="4"/>
            </w:tcBorders>
            <w:tcMar>
              <w:top w:type="dxa" w:w="70"/>
              <w:left w:type="dxa" w:w="110"/>
              <w:bottom w:type="dxa" w:w="70"/>
              <w:right w:type="dxa" w:w="110"/>
            </w:tcMar>
          </w:tcPr>
          <w:p>
            <w:r>
              <w:rPr>
                <w:sz w:val="20"/>
                <w:szCs w:val="20"/>
              </w:rPr>
              <w:t xml:space="preserve">An agent writes its own next instructions, spawns sub-tasks, or loops indefinitely, drifting from the original goal and consuming resources.</w:t>
            </w:r>
          </w:p>
        </w:tc>
        <w:tc>
          <w:tcPr>
            <w:tcW w:type="dxa" w:w="3310"/>
            <w:tcBorders>
              <w:top w:val="single" w:color="C5CCD6" w:sz="4"/>
              <w:left w:val="single" w:color="C5CCD6" w:sz="4"/>
              <w:bottom w:val="single" w:color="C5CCD6" w:sz="4"/>
              <w:right w:val="single" w:color="C5CCD6" w:sz="4"/>
            </w:tcBorders>
            <w:tcMar>
              <w:top w:type="dxa" w:w="70"/>
              <w:left w:type="dxa" w:w="110"/>
              <w:bottom w:type="dxa" w:w="70"/>
              <w:right w:type="dxa" w:w="110"/>
            </w:tcMar>
          </w:tcPr>
          <w:p>
            <w:r>
              <w:rPr>
                <w:sz w:val="20"/>
                <w:szCs w:val="20"/>
              </w:rPr>
              <w:t xml:space="preserve">Step and budget limits, goal checks between steps, and tracing of every agent turn.</w:t>
            </w:r>
          </w:p>
        </w:tc>
      </w:tr>
      <w:tr>
        <w:trPr>
          <w:cantSplit/>
        </w:trPr>
        <w:tc>
          <w:tcPr>
            <w:tcW w:type="dxa" w:w="2150"/>
            <w:tcBorders>
              <w:top w:val="single" w:color="C5CCD6" w:sz="4"/>
              <w:left w:val="single" w:color="C5CCD6" w:sz="4"/>
              <w:bottom w:val="single" w:color="C5CCD6" w:sz="4"/>
              <w:right w:val="single" w:color="C5CCD6" w:sz="4"/>
            </w:tcBorders>
            <w:tcMar>
              <w:top w:type="dxa" w:w="70"/>
              <w:left w:type="dxa" w:w="110"/>
              <w:bottom w:type="dxa" w:w="70"/>
              <w:right w:type="dxa" w:w="110"/>
            </w:tcMar>
          </w:tcPr>
          <w:p>
            <w:r>
              <w:rPr>
                <w:b/>
                <w:bCs/>
                <w:sz w:val="20"/>
                <w:szCs w:val="20"/>
              </w:rPr>
              <w:t xml:space="preserve">Excessive agency</w:t>
            </w:r>
          </w:p>
        </w:tc>
        <w:tc>
          <w:tcPr>
            <w:tcW w:type="dxa" w:w="3900"/>
            <w:tcBorders>
              <w:top w:val="single" w:color="C5CCD6" w:sz="4"/>
              <w:left w:val="single" w:color="C5CCD6" w:sz="4"/>
              <w:bottom w:val="single" w:color="C5CCD6" w:sz="4"/>
              <w:right w:val="single" w:color="C5CCD6" w:sz="4"/>
            </w:tcBorders>
            <w:tcMar>
              <w:top w:type="dxa" w:w="70"/>
              <w:left w:type="dxa" w:w="110"/>
              <w:bottom w:type="dxa" w:w="70"/>
              <w:right w:type="dxa" w:w="110"/>
            </w:tcMar>
          </w:tcPr>
          <w:p>
            <w:r>
              <w:rPr>
                <w:sz w:val="20"/>
                <w:szCs w:val="20"/>
              </w:rPr>
              <w:t xml:space="preserve">The model takes actions beyond what was intended because it has more tools or permissions than it needs.</w:t>
            </w:r>
          </w:p>
        </w:tc>
        <w:tc>
          <w:tcPr>
            <w:tcW w:type="dxa" w:w="3310"/>
            <w:tcBorders>
              <w:top w:val="single" w:color="C5CCD6" w:sz="4"/>
              <w:left w:val="single" w:color="C5CCD6" w:sz="4"/>
              <w:bottom w:val="single" w:color="C5CCD6" w:sz="4"/>
              <w:right w:val="single" w:color="C5CCD6" w:sz="4"/>
            </w:tcBorders>
            <w:tcMar>
              <w:top w:type="dxa" w:w="70"/>
              <w:left w:type="dxa" w:w="110"/>
              <w:bottom w:type="dxa" w:w="70"/>
              <w:right w:type="dxa" w:w="110"/>
            </w:tcMar>
          </w:tcPr>
          <w:p>
            <w:r>
              <w:rPr>
                <w:sz w:val="20"/>
                <w:szCs w:val="20"/>
              </w:rPr>
              <w:t xml:space="preserve">Least-privilege tools, human approval for high-impact actions, and scoped credentials.</w:t>
            </w:r>
          </w:p>
        </w:tc>
      </w:tr>
      <w:tr>
        <w:trPr>
          <w:cantSplit/>
        </w:trPr>
        <w:tc>
          <w:tcPr>
            <w:tcW w:type="dxa" w:w="2150"/>
            <w:tcBorders>
              <w:top w:val="single" w:color="C5CCD6" w:sz="4"/>
              <w:left w:val="single" w:color="C5CCD6" w:sz="4"/>
              <w:bottom w:val="single" w:color="C5CCD6" w:sz="4"/>
              <w:right w:val="single" w:color="C5CCD6" w:sz="4"/>
            </w:tcBorders>
            <w:tcMar>
              <w:top w:type="dxa" w:w="70"/>
              <w:left w:type="dxa" w:w="110"/>
              <w:bottom w:type="dxa" w:w="70"/>
              <w:right w:type="dxa" w:w="110"/>
            </w:tcMar>
          </w:tcPr>
          <w:p>
            <w:r>
              <w:rPr>
                <w:b/>
                <w:bCs/>
                <w:sz w:val="20"/>
                <w:szCs w:val="20"/>
              </w:rPr>
              <w:t xml:space="preserve">Indirect prompt injection</w:t>
            </w:r>
          </w:p>
        </w:tc>
        <w:tc>
          <w:tcPr>
            <w:tcW w:type="dxa" w:w="3900"/>
            <w:tcBorders>
              <w:top w:val="single" w:color="C5CCD6" w:sz="4"/>
              <w:left w:val="single" w:color="C5CCD6" w:sz="4"/>
              <w:bottom w:val="single" w:color="C5CCD6" w:sz="4"/>
              <w:right w:val="single" w:color="C5CCD6" w:sz="4"/>
            </w:tcBorders>
            <w:tcMar>
              <w:top w:type="dxa" w:w="70"/>
              <w:left w:type="dxa" w:w="110"/>
              <w:bottom w:type="dxa" w:w="70"/>
              <w:right w:type="dxa" w:w="110"/>
            </w:tcMar>
          </w:tcPr>
          <w:p>
            <w:r>
              <w:rPr>
                <w:sz w:val="20"/>
                <w:szCs w:val="20"/>
              </w:rPr>
              <w:t xml:space="preserve">Instructions hidden in documents, web pages, or tool output are treated by the model as commands.</w:t>
            </w:r>
          </w:p>
        </w:tc>
        <w:tc>
          <w:tcPr>
            <w:tcW w:type="dxa" w:w="3310"/>
            <w:tcBorders>
              <w:top w:val="single" w:color="C5CCD6" w:sz="4"/>
              <w:left w:val="single" w:color="C5CCD6" w:sz="4"/>
              <w:bottom w:val="single" w:color="C5CCD6" w:sz="4"/>
              <w:right w:val="single" w:color="C5CCD6" w:sz="4"/>
            </w:tcBorders>
            <w:tcMar>
              <w:top w:type="dxa" w:w="70"/>
              <w:left w:type="dxa" w:w="110"/>
              <w:bottom w:type="dxa" w:w="70"/>
              <w:right w:type="dxa" w:w="110"/>
            </w:tcMar>
          </w:tcPr>
          <w:p>
            <w:r>
              <w:rPr>
                <w:sz w:val="20"/>
                <w:szCs w:val="20"/>
              </w:rPr>
              <w:t xml:space="preserve">Prompt Guard on retrieved content, separation of data from instructions, and Garak latent injection probes.</w:t>
            </w:r>
          </w:p>
        </w:tc>
      </w:tr>
      <w:tr>
        <w:trPr>
          <w:cantSplit/>
        </w:trPr>
        <w:tc>
          <w:tcPr>
            <w:tcW w:type="dxa" w:w="2150"/>
            <w:tcBorders>
              <w:top w:val="single" w:color="C5CCD6" w:sz="4"/>
              <w:left w:val="single" w:color="C5CCD6" w:sz="4"/>
              <w:bottom w:val="single" w:color="C5CCD6" w:sz="4"/>
              <w:right w:val="single" w:color="C5CCD6" w:sz="4"/>
            </w:tcBorders>
            <w:tcMar>
              <w:top w:type="dxa" w:w="70"/>
              <w:left w:type="dxa" w:w="110"/>
              <w:bottom w:type="dxa" w:w="70"/>
              <w:right w:type="dxa" w:w="110"/>
            </w:tcMar>
          </w:tcPr>
          <w:p>
            <w:r>
              <w:rPr>
                <w:b/>
                <w:bCs/>
                <w:sz w:val="20"/>
                <w:szCs w:val="20"/>
              </w:rPr>
              <w:t xml:space="preserve">Agent-to-agent propagation</w:t>
            </w:r>
          </w:p>
        </w:tc>
        <w:tc>
          <w:tcPr>
            <w:tcW w:type="dxa" w:w="3900"/>
            <w:tcBorders>
              <w:top w:val="single" w:color="C5CCD6" w:sz="4"/>
              <w:left w:val="single" w:color="C5CCD6" w:sz="4"/>
              <w:bottom w:val="single" w:color="C5CCD6" w:sz="4"/>
              <w:right w:val="single" w:color="C5CCD6" w:sz="4"/>
            </w:tcBorders>
            <w:tcMar>
              <w:top w:type="dxa" w:w="70"/>
              <w:left w:type="dxa" w:w="110"/>
              <w:bottom w:type="dxa" w:w="70"/>
              <w:right w:type="dxa" w:w="110"/>
            </w:tcMar>
          </w:tcPr>
          <w:p>
            <w:r>
              <w:rPr>
                <w:sz w:val="20"/>
                <w:szCs w:val="20"/>
              </w:rPr>
              <w:t xml:space="preserve">One compromised or confused agent passes malicious instructions to others, spreading across a multi-agent network.</w:t>
            </w:r>
          </w:p>
        </w:tc>
        <w:tc>
          <w:tcPr>
            <w:tcW w:type="dxa" w:w="3310"/>
            <w:tcBorders>
              <w:top w:val="single" w:color="C5CCD6" w:sz="4"/>
              <w:left w:val="single" w:color="C5CCD6" w:sz="4"/>
              <w:bottom w:val="single" w:color="C5CCD6" w:sz="4"/>
              <w:right w:val="single" w:color="C5CCD6" w:sz="4"/>
            </w:tcBorders>
            <w:tcMar>
              <w:top w:type="dxa" w:w="70"/>
              <w:left w:type="dxa" w:w="110"/>
              <w:bottom w:type="dxa" w:w="70"/>
              <w:right w:type="dxa" w:w="110"/>
            </w:tcMar>
          </w:tcPr>
          <w:p>
            <w:r>
              <w:rPr>
                <w:sz w:val="20"/>
                <w:szCs w:val="20"/>
              </w:rPr>
              <w:t xml:space="preserve">Authenticate and validate inter-agent messages; apply guardrails at each hop.</w:t>
            </w:r>
          </w:p>
        </w:tc>
      </w:tr>
      <w:tr>
        <w:trPr>
          <w:cantSplit/>
        </w:trPr>
        <w:tc>
          <w:tcPr>
            <w:tcW w:type="dxa" w:w="2150"/>
            <w:tcBorders>
              <w:top w:val="single" w:color="C5CCD6" w:sz="4"/>
              <w:left w:val="single" w:color="C5CCD6" w:sz="4"/>
              <w:bottom w:val="single" w:color="C5CCD6" w:sz="4"/>
              <w:right w:val="single" w:color="C5CCD6" w:sz="4"/>
            </w:tcBorders>
            <w:tcMar>
              <w:top w:type="dxa" w:w="70"/>
              <w:left w:type="dxa" w:w="110"/>
              <w:bottom w:type="dxa" w:w="70"/>
              <w:right w:type="dxa" w:w="110"/>
            </w:tcMar>
          </w:tcPr>
          <w:p>
            <w:r>
              <w:rPr>
                <w:b/>
                <w:bCs/>
                <w:sz w:val="20"/>
                <w:szCs w:val="20"/>
              </w:rPr>
              <w:t xml:space="preserve">Memory and RAG poisoning</w:t>
            </w:r>
          </w:p>
        </w:tc>
        <w:tc>
          <w:tcPr>
            <w:tcW w:type="dxa" w:w="3900"/>
            <w:tcBorders>
              <w:top w:val="single" w:color="C5CCD6" w:sz="4"/>
              <w:left w:val="single" w:color="C5CCD6" w:sz="4"/>
              <w:bottom w:val="single" w:color="C5CCD6" w:sz="4"/>
              <w:right w:val="single" w:color="C5CCD6" w:sz="4"/>
            </w:tcBorders>
            <w:tcMar>
              <w:top w:type="dxa" w:w="70"/>
              <w:left w:type="dxa" w:w="110"/>
              <w:bottom w:type="dxa" w:w="70"/>
              <w:right w:type="dxa" w:w="110"/>
            </w:tcMar>
          </w:tcPr>
          <w:p>
            <w:r>
              <w:rPr>
                <w:sz w:val="20"/>
                <w:szCs w:val="20"/>
              </w:rPr>
              <w:t xml:space="preserve">Bad content written into long-term memory or a vector store keeps influencing future sessions.</w:t>
            </w:r>
          </w:p>
        </w:tc>
        <w:tc>
          <w:tcPr>
            <w:tcW w:type="dxa" w:w="3310"/>
            <w:tcBorders>
              <w:top w:val="single" w:color="C5CCD6" w:sz="4"/>
              <w:left w:val="single" w:color="C5CCD6" w:sz="4"/>
              <w:bottom w:val="single" w:color="C5CCD6" w:sz="4"/>
              <w:right w:val="single" w:color="C5CCD6" w:sz="4"/>
            </w:tcBorders>
            <w:tcMar>
              <w:top w:type="dxa" w:w="70"/>
              <w:left w:type="dxa" w:w="110"/>
              <w:bottom w:type="dxa" w:w="70"/>
              <w:right w:type="dxa" w:w="110"/>
            </w:tcMar>
          </w:tcPr>
          <w:p>
            <w:r>
              <w:rPr>
                <w:sz w:val="20"/>
                <w:szCs w:val="20"/>
              </w:rPr>
              <w:t xml:space="preserve">Control write access to memory, track the source of stored content, and audit it periodically.</w:t>
            </w:r>
          </w:p>
        </w:tc>
      </w:tr>
      <w:tr>
        <w:trPr>
          <w:cantSplit/>
        </w:trPr>
        <w:tc>
          <w:tcPr>
            <w:tcW w:type="dxa" w:w="2150"/>
            <w:tcBorders>
              <w:top w:val="single" w:color="C5CCD6" w:sz="4"/>
              <w:left w:val="single" w:color="C5CCD6" w:sz="4"/>
              <w:bottom w:val="single" w:color="C5CCD6" w:sz="4"/>
              <w:right w:val="single" w:color="C5CCD6" w:sz="4"/>
            </w:tcBorders>
            <w:tcMar>
              <w:top w:type="dxa" w:w="70"/>
              <w:left w:type="dxa" w:w="110"/>
              <w:bottom w:type="dxa" w:w="70"/>
              <w:right w:type="dxa" w:w="110"/>
            </w:tcMar>
          </w:tcPr>
          <w:p>
            <w:r>
              <w:rPr>
                <w:b/>
                <w:bCs/>
                <w:sz w:val="20"/>
                <w:szCs w:val="20"/>
              </w:rPr>
              <w:t xml:space="preserve">Deceptive or inconsistent behavior</w:t>
            </w:r>
          </w:p>
        </w:tc>
        <w:tc>
          <w:tcPr>
            <w:tcW w:type="dxa" w:w="3900"/>
            <w:tcBorders>
              <w:top w:val="single" w:color="C5CCD6" w:sz="4"/>
              <w:left w:val="single" w:color="C5CCD6" w:sz="4"/>
              <w:bottom w:val="single" w:color="C5CCD6" w:sz="4"/>
              <w:right w:val="single" w:color="C5CCD6" w:sz="4"/>
            </w:tcBorders>
            <w:tcMar>
              <w:top w:type="dxa" w:w="70"/>
              <w:left w:type="dxa" w:w="110"/>
              <w:bottom w:type="dxa" w:w="70"/>
              <w:right w:type="dxa" w:w="110"/>
            </w:tcMar>
          </w:tcPr>
          <w:p>
            <w:r>
              <w:rPr>
                <w:sz w:val="20"/>
                <w:szCs w:val="20"/>
              </w:rPr>
              <w:t xml:space="preserve">The model behaves differently under test than in production, or misreports what it did.</w:t>
            </w:r>
          </w:p>
        </w:tc>
        <w:tc>
          <w:tcPr>
            <w:tcW w:type="dxa" w:w="3310"/>
            <w:tcBorders>
              <w:top w:val="single" w:color="C5CCD6" w:sz="4"/>
              <w:left w:val="single" w:color="C5CCD6" w:sz="4"/>
              <w:bottom w:val="single" w:color="C5CCD6" w:sz="4"/>
              <w:right w:val="single" w:color="C5CCD6" w:sz="4"/>
            </w:tcBorders>
            <w:tcMar>
              <w:top w:type="dxa" w:w="70"/>
              <w:left w:type="dxa" w:w="110"/>
              <w:bottom w:type="dxa" w:w="70"/>
              <w:right w:type="dxa" w:w="110"/>
            </w:tcMar>
          </w:tcPr>
          <w:p>
            <w:r>
              <w:rPr>
                <w:sz w:val="20"/>
                <w:szCs w:val="20"/>
              </w:rPr>
              <w:t xml:space="preserve">Compare evaluation and production behavior; verify claimed actions against tool logs.</w:t>
            </w:r>
          </w:p>
        </w:tc>
      </w:tr>
      <w:tr>
        <w:trPr>
          <w:cantSplit/>
        </w:trPr>
        <w:tc>
          <w:tcPr>
            <w:tcW w:type="dxa" w:w="2150"/>
            <w:tcBorders>
              <w:top w:val="single" w:color="C5CCD6" w:sz="4"/>
              <w:left w:val="single" w:color="C5CCD6" w:sz="4"/>
              <w:bottom w:val="single" w:color="C5CCD6" w:sz="4"/>
              <w:right w:val="single" w:color="C5CCD6" w:sz="4"/>
            </w:tcBorders>
            <w:tcMar>
              <w:top w:type="dxa" w:w="70"/>
              <w:left w:type="dxa" w:w="110"/>
              <w:bottom w:type="dxa" w:w="70"/>
              <w:right w:type="dxa" w:w="110"/>
            </w:tcMar>
          </w:tcPr>
          <w:p>
            <w:r>
              <w:rPr>
                <w:b/>
                <w:bCs/>
                <w:sz w:val="20"/>
                <w:szCs w:val="20"/>
              </w:rPr>
              <w:t xml:space="preserve">Unbounded consumption</w:t>
            </w:r>
          </w:p>
        </w:tc>
        <w:tc>
          <w:tcPr>
            <w:tcW w:type="dxa" w:w="3900"/>
            <w:tcBorders>
              <w:top w:val="single" w:color="C5CCD6" w:sz="4"/>
              <w:left w:val="single" w:color="C5CCD6" w:sz="4"/>
              <w:bottom w:val="single" w:color="C5CCD6" w:sz="4"/>
              <w:right w:val="single" w:color="C5CCD6" w:sz="4"/>
            </w:tcBorders>
            <w:tcMar>
              <w:top w:type="dxa" w:w="70"/>
              <w:left w:type="dxa" w:w="110"/>
              <w:bottom w:type="dxa" w:w="70"/>
              <w:right w:type="dxa" w:w="110"/>
            </w:tcMar>
          </w:tcPr>
          <w:p>
            <w:r>
              <w:rPr>
                <w:sz w:val="20"/>
                <w:szCs w:val="20"/>
              </w:rPr>
              <w:t xml:space="preserve">Prompts or loops drive very long generations or huge numbers of calls, causing cost spikes or denial of service.</w:t>
            </w:r>
          </w:p>
        </w:tc>
        <w:tc>
          <w:tcPr>
            <w:tcW w:type="dxa" w:w="3310"/>
            <w:tcBorders>
              <w:top w:val="single" w:color="C5CCD6" w:sz="4"/>
              <w:left w:val="single" w:color="C5CCD6" w:sz="4"/>
              <w:bottom w:val="single" w:color="C5CCD6" w:sz="4"/>
              <w:right w:val="single" w:color="C5CCD6" w:sz="4"/>
            </w:tcBorders>
            <w:tcMar>
              <w:top w:type="dxa" w:w="70"/>
              <w:left w:type="dxa" w:w="110"/>
              <w:bottom w:type="dxa" w:w="70"/>
              <w:right w:type="dxa" w:w="110"/>
            </w:tcMar>
          </w:tcPr>
          <w:p>
            <w:r>
              <w:rPr>
                <w:sz w:val="20"/>
                <w:szCs w:val="20"/>
              </w:rPr>
              <w:t xml:space="preserve">Rate limits, token caps, and cost alerts per user and per agent.</w:t>
            </w:r>
          </w:p>
        </w:tc>
      </w:tr>
    </w:tbl>
    <w:p>
      <w:pPr>
        <w:spacing w:after="120"/>
      </w:pPr>
    </w:p>
    <w:p>
      <w:pPr>
        <w:spacing w:after="140"/>
      </w:pPr>
      <w:r>
        <w:rPr>
          <w:b/>
          <w:bCs/>
        </w:rPr>
        <w:t xml:space="preserve">Key point:</w:t>
      </w:r>
      <w:r>
        <w:t xml:space="preserve"> scanners only find known patterns. Internal risks such as backdoors and deceptive behavior are hard to rule out by testing alone, so limit what the model is able to do and log what it actually does.</w:t>
      </w:r>
    </w:p>
    <w:p>
      <w:pPr>
        <w:pStyle w:val="Heading1"/>
      </w:pPr>
      <w:r>
        <w:t xml:space="preserve">4. Garak setup and first test</w:t>
      </w:r>
    </w:p>
    <w:p>
      <w:pPr>
        <w:spacing w:after="140"/>
      </w:pPr>
      <w:r>
        <w:t xml:space="preserve">Setup takes a few minutes. Garak installs with pip and is used from the command line.</w:t>
      </w:r>
    </w:p>
    <w:p>
      <w:pPr>
        <w:shd w:fill="F2F4F7" w:val="clear"/>
        <w:spacing w:after="0"/>
        <w:ind w:left="200"/>
      </w:pPr>
      <w:r>
        <w:rPr>
          <w:rFonts w:ascii="Consolas" w:cs="Consolas" w:eastAsia="Consolas" w:hAnsi="Consolas"/>
          <w:sz w:val="19"/>
          <w:szCs w:val="19"/>
        </w:rPr>
        <w:t xml:space="preserve">python -m pip install -U garak</w:t>
      </w:r>
    </w:p>
    <w:p>
      <w:pPr>
        <w:shd w:fill="F2F4F7" w:val="clear"/>
        <w:spacing w:after="160"/>
        <w:ind w:left="200"/>
      </w:pPr>
      <w:r>
        <w:rPr>
          <w:rFonts w:ascii="Consolas" w:cs="Consolas" w:eastAsia="Consolas" w:hAnsi="Consolas"/>
          <w:sz w:val="19"/>
          <w:szCs w:val="19"/>
        </w:rPr>
        <w:t xml:space="preserve">garak --list_probes</w:t>
      </w:r>
    </w:p>
    <w:p>
      <w:pPr>
        <w:spacing w:after="140"/>
      </w:pPr>
      <w:r>
        <w:t xml:space="preserve">Point it at a model and choose probes. Example for an OpenAI-compatible model:</w:t>
      </w:r>
    </w:p>
    <w:p>
      <w:pPr>
        <w:shd w:fill="F2F4F7" w:val="clear"/>
        <w:spacing w:after="0"/>
        <w:ind w:left="200"/>
      </w:pPr>
      <w:r>
        <w:rPr>
          <w:rFonts w:ascii="Consolas" w:cs="Consolas" w:eastAsia="Consolas" w:hAnsi="Consolas"/>
          <w:sz w:val="19"/>
          <w:szCs w:val="19"/>
        </w:rPr>
        <w:t xml:space="preserve">export OPENAI_API_KEY="..."</w:t>
      </w:r>
    </w:p>
    <w:p>
      <w:pPr>
        <w:shd w:fill="F2F4F7" w:val="clear"/>
        <w:spacing w:after="160"/>
        <w:ind w:left="200"/>
      </w:pPr>
      <w:r>
        <w:rPr>
          <w:rFonts w:ascii="Consolas" w:cs="Consolas" w:eastAsia="Consolas" w:hAnsi="Consolas"/>
          <w:sz w:val="19"/>
          <w:szCs w:val="19"/>
        </w:rPr>
        <w:t xml:space="preserve">garak --model_type openai --model_name gpt-4o-mini --probes promptinject</w:t>
      </w:r>
    </w:p>
    <w:p>
      <w:pPr>
        <w:spacing w:after="140"/>
      </w:pPr>
      <w:r>
        <w:t xml:space="preserve">Newer releases have been renaming flags (for example --model_type to --target_type), so confirm with garak --help. Garak also supports Hugging Face, local models, and a generic REST generator for custom endpoints, which needs a small JSON config describing the request and response format.</w:t>
      </w:r>
    </w:p>
    <w:p>
      <w:pPr>
        <w:pStyle w:val="Heading2"/>
      </w:pPr>
      <w:r>
        <w:t xml:space="preserve">What takes more work</w:t>
      </w:r>
    </w:p>
    <w:p>
      <w:pPr>
        <w:pStyle w:val="ListParagraph"/>
        <w:numPr>
          <w:ilvl w:val="0"/>
          <w:numId w:val="2"/>
        </w:numPr>
        <w:spacing w:after="70"/>
      </w:pPr>
      <w:r>
        <w:rPr>
          <w:b/>
          <w:bCs/>
        </w:rPr>
        <w:t xml:space="preserve">Run time and cost:</w:t>
      </w:r>
      <w:r>
        <w:t xml:space="preserve"> all probes together send thousands of prompts. Start with one or two probe families.</w:t>
      </w:r>
    </w:p>
    <w:p>
      <w:pPr>
        <w:pStyle w:val="ListParagraph"/>
        <w:numPr>
          <w:ilvl w:val="0"/>
          <w:numId w:val="2"/>
        </w:numPr>
        <w:spacing w:after="70"/>
      </w:pPr>
      <w:r>
        <w:rPr>
          <w:b/>
          <w:bCs/>
        </w:rPr>
        <w:t xml:space="preserve">Reading results:</w:t>
      </w:r>
      <w:r>
        <w:t xml:space="preserve"> output is a JSONL log, a hit log of failures, and an HTML report with pass rates per probe. A failure rate is not a severity rating.</w:t>
      </w:r>
    </w:p>
    <w:p>
      <w:pPr>
        <w:pStyle w:val="ListParagraph"/>
        <w:numPr>
          <w:ilvl w:val="0"/>
          <w:numId w:val="2"/>
        </w:numPr>
        <w:spacing w:after="70"/>
      </w:pPr>
      <w:r>
        <w:rPr>
          <w:b/>
          <w:bCs/>
        </w:rPr>
        <w:t xml:space="preserve">False positives:</w:t>
      </w:r>
      <w:r>
        <w:t xml:space="preserve"> detectors are mostly string or classifier based, so spot-check hits before reporting them.</w:t>
      </w:r>
    </w:p>
    <w:p>
      <w:pPr>
        <w:pStyle w:val="ListParagraph"/>
        <w:numPr>
          <w:ilvl w:val="0"/>
          <w:numId w:val="2"/>
        </w:numPr>
        <w:spacing w:after="70"/>
      </w:pPr>
      <w:r>
        <w:rPr>
          <w:b/>
          <w:bCs/>
        </w:rPr>
        <w:t xml:space="preserve">CI integration:</w:t>
      </w:r>
      <w:r>
        <w:t xml:space="preserve"> less polished than Promptfoo; expect to write a wrapper for pass/fail gates.</w:t>
      </w:r>
    </w:p>
    <w:p>
      <w:pPr>
        <w:pStyle w:val="ListParagraph"/>
        <w:numPr>
          <w:ilvl w:val="0"/>
          <w:numId w:val="2"/>
        </w:numPr>
        <w:spacing w:after="70"/>
      </w:pPr>
      <w:r>
        <w:rPr>
          <w:b/>
          <w:bCs/>
        </w:rPr>
        <w:t xml:space="preserve">Scope:</w:t>
      </w:r>
      <w:r>
        <w:t xml:space="preserve"> single-shot probes against a model or endpoint. It does not exercise agent tool calls or multi-turn flows.</w:t>
      </w:r>
    </w:p>
    <w:p>
      <w:pPr>
        <w:spacing w:after="140"/>
      </w:pPr>
      <w:r>
        <w:rPr>
          <w:b/>
          <w:bCs/>
        </w:rPr>
        <w:t xml:space="preserve">Suggested first test:</w:t>
      </w:r>
      <w:r>
        <w:t xml:space="preserve"> run promptinject, dan, and latentinjection against a cheap or local model to get a full report in under an hour.</w:t>
      </w:r>
    </w:p>
    <w:p>
      <w:pPr>
        <w:pStyle w:val="Heading1"/>
      </w:pPr>
      <w:r>
        <w:t xml:space="preserve">5. Visualizing results</w:t>
      </w:r>
    </w:p>
    <w:p>
      <w:pPr>
        <w:spacing w:after="140"/>
      </w:pPr>
      <w:r>
        <w:t xml:space="preserve">There is no standard dedicated dashboard for Garak. The right choice depends on the audience.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rPr>
          <w:tblHeader/>
        </w:trPr>
        <w:tc>
          <w:tcPr>
            <w:tcW w:type="dxa" w:w="2900"/>
            <w:tcBorders>
              <w:top w:val="single" w:color="C5CCD6" w:sz="4"/>
              <w:left w:val="single" w:color="C5CCD6" w:sz="4"/>
              <w:bottom w:val="single" w:color="C5CCD6" w:sz="4"/>
              <w:right w:val="single" w:color="C5CCD6" w:sz="4"/>
            </w:tcBorders>
            <w:shd w:fill="1F3A5F" w:val="clear"/>
            <w:tcMar>
              <w:top w:type="dxa" w:w="70"/>
              <w:left w:type="dxa" w:w="110"/>
              <w:bottom w:type="dxa" w:w="70"/>
              <w:right w:type="dxa" w:w="110"/>
            </w:tcMar>
          </w:tcPr>
          <w:p>
            <w:r>
              <w:rPr>
                <w:b/>
                <w:bCs/>
                <w:color w:val="FFFFFF"/>
                <w:sz w:val="20"/>
                <w:szCs w:val="20"/>
              </w:rPr>
              <w:t xml:space="preserve">Need</w:t>
            </w:r>
          </w:p>
        </w:tc>
        <w:tc>
          <w:tcPr>
            <w:tcW w:type="dxa" w:w="6460"/>
            <w:tcBorders>
              <w:top w:val="single" w:color="C5CCD6" w:sz="4"/>
              <w:left w:val="single" w:color="C5CCD6" w:sz="4"/>
              <w:bottom w:val="single" w:color="C5CCD6" w:sz="4"/>
              <w:right w:val="single" w:color="C5CCD6" w:sz="4"/>
            </w:tcBorders>
            <w:shd w:fill="1F3A5F" w:val="clear"/>
            <w:tcMar>
              <w:top w:type="dxa" w:w="70"/>
              <w:left w:type="dxa" w:w="110"/>
              <w:bottom w:type="dxa" w:w="70"/>
              <w:right w:type="dxa" w:w="110"/>
            </w:tcMar>
          </w:tcPr>
          <w:p>
            <w:r>
              <w:rPr>
                <w:b/>
                <w:bCs/>
                <w:color w:val="FFFFFF"/>
                <w:sz w:val="20"/>
                <w:szCs w:val="20"/>
              </w:rPr>
              <w:t xml:space="preserve">Recommended approach</w:t>
            </w:r>
          </w:p>
        </w:tc>
      </w:tr>
      <w:tr>
        <w:trPr>
          <w:cantSplit/>
        </w:trPr>
        <w:tc>
          <w:tcPr>
            <w:tcW w:type="dxa" w:w="2900"/>
            <w:tcBorders>
              <w:top w:val="single" w:color="C5CCD6" w:sz="4"/>
              <w:left w:val="single" w:color="C5CCD6" w:sz="4"/>
              <w:bottom w:val="single" w:color="C5CCD6" w:sz="4"/>
              <w:right w:val="single" w:color="C5CCD6" w:sz="4"/>
            </w:tcBorders>
            <w:tcMar>
              <w:top w:type="dxa" w:w="70"/>
              <w:left w:type="dxa" w:w="110"/>
              <w:bottom w:type="dxa" w:w="70"/>
              <w:right w:type="dxa" w:w="110"/>
            </w:tcMar>
          </w:tcPr>
          <w:p>
            <w:r>
              <w:rPr>
                <w:sz w:val="20"/>
                <w:szCs w:val="20"/>
              </w:rPr>
              <w:t xml:space="preserve">Single run, individual review</w:t>
            </w:r>
          </w:p>
        </w:tc>
        <w:tc>
          <w:tcPr>
            <w:tcW w:type="dxa" w:w="6460"/>
            <w:tcBorders>
              <w:top w:val="single" w:color="C5CCD6" w:sz="4"/>
              <w:left w:val="single" w:color="C5CCD6" w:sz="4"/>
              <w:bottom w:val="single" w:color="C5CCD6" w:sz="4"/>
              <w:right w:val="single" w:color="C5CCD6" w:sz="4"/>
            </w:tcBorders>
            <w:tcMar>
              <w:top w:type="dxa" w:w="70"/>
              <w:left w:type="dxa" w:w="110"/>
              <w:bottom w:type="dxa" w:w="70"/>
              <w:right w:type="dxa" w:w="110"/>
            </w:tcMar>
          </w:tcPr>
          <w:p>
            <w:r>
              <w:rPr>
                <w:sz w:val="20"/>
                <w:szCs w:val="20"/>
              </w:rPr>
              <w:t xml:space="preserve">Garak’s built-in HTML report, generated automatically with pass rates per probe category.</w:t>
            </w:r>
          </w:p>
        </w:tc>
      </w:tr>
      <w:tr>
        <w:trPr>
          <w:cantSplit/>
        </w:trPr>
        <w:tc>
          <w:tcPr>
            <w:tcW w:type="dxa" w:w="2900"/>
            <w:tcBorders>
              <w:top w:val="single" w:color="C5CCD6" w:sz="4"/>
              <w:left w:val="single" w:color="C5CCD6" w:sz="4"/>
              <w:bottom w:val="single" w:color="C5CCD6" w:sz="4"/>
              <w:right w:val="single" w:color="C5CCD6" w:sz="4"/>
            </w:tcBorders>
            <w:tcMar>
              <w:top w:type="dxa" w:w="70"/>
              <w:left w:type="dxa" w:w="110"/>
              <w:bottom w:type="dxa" w:w="70"/>
              <w:right w:type="dxa" w:w="110"/>
            </w:tcMar>
          </w:tcPr>
          <w:p>
            <w:r>
              <w:rPr>
                <w:sz w:val="20"/>
                <w:szCs w:val="20"/>
              </w:rPr>
              <w:t xml:space="preserve">Investigating failures</w:t>
            </w:r>
          </w:p>
        </w:tc>
        <w:tc>
          <w:tcPr>
            <w:tcW w:type="dxa" w:w="6460"/>
            <w:tcBorders>
              <w:top w:val="single" w:color="C5CCD6" w:sz="4"/>
              <w:left w:val="single" w:color="C5CCD6" w:sz="4"/>
              <w:bottom w:val="single" w:color="C5CCD6" w:sz="4"/>
              <w:right w:val="single" w:color="C5CCD6" w:sz="4"/>
            </w:tcBorders>
            <w:tcMar>
              <w:top w:type="dxa" w:w="70"/>
              <w:left w:type="dxa" w:w="110"/>
              <w:bottom w:type="dxa" w:w="70"/>
              <w:right w:type="dxa" w:w="110"/>
            </w:tcMar>
          </w:tcPr>
          <w:p>
            <w:r>
              <w:rPr>
                <w:sz w:val="20"/>
                <w:szCs w:val="20"/>
              </w:rPr>
              <w:t xml:space="preserve">Load the JSONL into a Jupyter notebook with pandas and filter to failed attempts.</w:t>
            </w:r>
          </w:p>
        </w:tc>
      </w:tr>
      <w:tr>
        <w:trPr>
          <w:cantSplit/>
        </w:trPr>
        <w:tc>
          <w:tcPr>
            <w:tcW w:type="dxa" w:w="2900"/>
            <w:tcBorders>
              <w:top w:val="single" w:color="C5CCD6" w:sz="4"/>
              <w:left w:val="single" w:color="C5CCD6" w:sz="4"/>
              <w:bottom w:val="single" w:color="C5CCD6" w:sz="4"/>
              <w:right w:val="single" w:color="C5CCD6" w:sz="4"/>
            </w:tcBorders>
            <w:tcMar>
              <w:top w:type="dxa" w:w="70"/>
              <w:left w:type="dxa" w:w="110"/>
              <w:bottom w:type="dxa" w:w="70"/>
              <w:right w:type="dxa" w:w="110"/>
            </w:tcMar>
          </w:tcPr>
          <w:p>
            <w:r>
              <w:rPr>
                <w:b/>
                <w:bCs/>
                <w:sz w:val="20"/>
                <w:szCs w:val="20"/>
              </w:rPr>
              <w:t xml:space="preserve">Enterprise tracking over time (recommended)</w:t>
            </w:r>
          </w:p>
        </w:tc>
        <w:tc>
          <w:tcPr>
            <w:tcW w:type="dxa" w:w="6460"/>
            <w:tcBorders>
              <w:top w:val="single" w:color="C5CCD6" w:sz="4"/>
              <w:left w:val="single" w:color="C5CCD6" w:sz="4"/>
              <w:bottom w:val="single" w:color="C5CCD6" w:sz="4"/>
              <w:right w:val="single" w:color="C5CCD6" w:sz="4"/>
            </w:tcBorders>
            <w:tcMar>
              <w:top w:type="dxa" w:w="70"/>
              <w:left w:type="dxa" w:w="110"/>
              <w:bottom w:type="dxa" w:w="70"/>
              <w:right w:type="dxa" w:w="110"/>
            </w:tcMar>
          </w:tcPr>
          <w:p>
            <w:r>
              <w:rPr>
                <w:sz w:val="20"/>
                <w:szCs w:val="20"/>
              </w:rPr>
              <w:t xml:space="preserve">Ship the JSONL to an existing observability stack: Grafana with Loki or Elasticsearch, Kibana or OpenSearch Dashboards, or Splunk. Tag each scan with model, version, and commit for trends and regression alerts.</w:t>
            </w:r>
          </w:p>
        </w:tc>
      </w:tr>
      <w:tr>
        <w:trPr>
          <w:cantSplit/>
        </w:trPr>
        <w:tc>
          <w:tcPr>
            <w:tcW w:type="dxa" w:w="2900"/>
            <w:tcBorders>
              <w:top w:val="single" w:color="C5CCD6" w:sz="4"/>
              <w:left w:val="single" w:color="C5CCD6" w:sz="4"/>
              <w:bottom w:val="single" w:color="C5CCD6" w:sz="4"/>
              <w:right w:val="single" w:color="C5CCD6" w:sz="4"/>
            </w:tcBorders>
            <w:tcMar>
              <w:top w:type="dxa" w:w="70"/>
              <w:left w:type="dxa" w:w="110"/>
              <w:bottom w:type="dxa" w:w="70"/>
              <w:right w:type="dxa" w:w="110"/>
            </w:tcMar>
          </w:tcPr>
          <w:p>
            <w:r>
              <w:rPr>
                <w:sz w:val="20"/>
                <w:szCs w:val="20"/>
              </w:rPr>
              <w:t xml:space="preserve">Vulnerability management</w:t>
            </w:r>
          </w:p>
        </w:tc>
        <w:tc>
          <w:tcPr>
            <w:tcW w:type="dxa" w:w="6460"/>
            <w:tcBorders>
              <w:top w:val="single" w:color="C5CCD6" w:sz="4"/>
              <w:left w:val="single" w:color="C5CCD6" w:sz="4"/>
              <w:bottom w:val="single" w:color="C5CCD6" w:sz="4"/>
              <w:right w:val="single" w:color="C5CCD6" w:sz="4"/>
            </w:tcBorders>
            <w:tcMar>
              <w:top w:type="dxa" w:w="70"/>
              <w:left w:type="dxa" w:w="110"/>
              <w:bottom w:type="dxa" w:w="70"/>
              <w:right w:type="dxa" w:w="110"/>
            </w:tcMar>
          </w:tcPr>
          <w:p>
            <w:r>
              <w:rPr>
                <w:sz w:val="20"/>
                <w:szCs w:val="20"/>
              </w:rPr>
              <w:t xml:space="preserve">Convert the hit log into a generic findings import for a tool such as DefectDojo. Check whether a parser exists before building one.</w:t>
            </w:r>
          </w:p>
        </w:tc>
      </w:tr>
    </w:tbl>
    <w:p>
      <w:pPr>
        <w:spacing w:after="120"/>
      </w:pPr>
    </w:p>
    <w:p>
      <w:pPr>
        <w:spacing w:after="140"/>
      </w:pPr>
      <w:r>
        <w:rPr>
          <w:b/>
          <w:bCs/>
        </w:rPr>
        <w:t xml:space="preserve">Caution:</w:t>
      </w:r>
      <w:r>
        <w:t xml:space="preserve"> a separate commercial product named Garak Security Platform (package garak-sdk, garaksecurity.com) is not the NVIDIA open source project.</w:t>
      </w:r>
    </w:p>
    <w:p>
      <w:pPr>
        <w:pStyle w:val="Heading1"/>
      </w:pPr>
      <w:r>
        <w:t xml:space="preserve">6. Deployment on Kubernetes and EKS</w:t>
      </w:r>
    </w:p>
    <w:p>
      <w:pPr>
        <w:spacing w:after="140"/>
      </w:pPr>
      <w:r>
        <w:t xml:space="preserve">Garak itself is a Python CLI with no official Helm chart. There are two routes to run it on Kubernetes.</w:t>
      </w:r>
    </w:p>
    <w:p>
      <w:pPr>
        <w:pStyle w:val="Heading2"/>
      </w:pPr>
      <w:r>
        <w:t xml:space="preserve">Option A: NVIDIA NeMo Auditor</w:t>
      </w:r>
    </w:p>
    <w:p>
      <w:pPr>
        <w:pStyle w:val="ListParagraph"/>
        <w:numPr>
          <w:ilvl w:val="0"/>
          <w:numId w:val="2"/>
        </w:numPr>
        <w:spacing w:after="70"/>
      </w:pPr>
      <w:r>
        <w:t xml:space="preserve">A microservice that wraps Garak behind a REST API.</w:t>
      </w:r>
    </w:p>
    <w:p>
      <w:pPr>
        <w:pStyle w:val="ListParagraph"/>
        <w:numPr>
          <w:ilvl w:val="0"/>
          <w:numId w:val="2"/>
        </w:numPr>
        <w:spacing w:after="70"/>
      </w:pPr>
      <w:r>
        <w:t xml:space="preserve">Deployed with a Helm chart on any Kubernetes cluster, including EKS. The default install enables only Auditor and PostgreSQL.</w:t>
      </w:r>
    </w:p>
    <w:p>
      <w:pPr>
        <w:pStyle w:val="ListParagraph"/>
        <w:numPr>
          <w:ilvl w:val="0"/>
          <w:numId w:val="2"/>
        </w:numPr>
        <w:spacing w:after="70"/>
      </w:pPr>
      <w:r>
        <w:t xml:space="preserve">Docker Compose is available for local testing.</w:t>
      </w:r>
    </w:p>
    <w:p>
      <w:pPr>
        <w:pStyle w:val="ListParagraph"/>
        <w:numPr>
          <w:ilvl w:val="0"/>
          <w:numId w:val="2"/>
        </w:numPr>
        <w:spacing w:after="70"/>
      </w:pPr>
      <w:r>
        <w:t xml:space="preserve">Images come from nvcr.io and need an NGC API key. This is part of NVIDIA’s enterprise offering, so check license terms before production use.</w:t>
      </w:r>
    </w:p>
    <w:p>
      <w:pPr>
        <w:pStyle w:val="Heading2"/>
      </w:pPr>
      <w:r>
        <w:t xml:space="preserve">Option B: Run open source Garak as Kubernetes Jobs</w:t>
      </w:r>
    </w:p>
    <w:p>
      <w:pPr>
        <w:pStyle w:val="ListParagraph"/>
        <w:numPr>
          <w:ilvl w:val="0"/>
          <w:numId w:val="3"/>
        </w:numPr>
        <w:spacing w:after="70"/>
      </w:pPr>
      <w:r>
        <w:t xml:space="preserve">Build a small image: Python base plus pip install garak.</w:t>
      </w:r>
    </w:p>
    <w:p>
      <w:pPr>
        <w:pStyle w:val="ListParagraph"/>
        <w:numPr>
          <w:ilvl w:val="0"/>
          <w:numId w:val="3"/>
        </w:numPr>
        <w:spacing w:after="70"/>
      </w:pPr>
      <w:r>
        <w:t xml:space="preserve">Run each scan as a Job, or a CronJob for scheduled rescans.</w:t>
      </w:r>
    </w:p>
    <w:p>
      <w:pPr>
        <w:pStyle w:val="ListParagraph"/>
        <w:numPr>
          <w:ilvl w:val="0"/>
          <w:numId w:val="3"/>
        </w:numPr>
        <w:spacing w:after="70"/>
      </w:pPr>
      <w:r>
        <w:t xml:space="preserve">Pass API keys through Secrets and the REST target config through a ConfigMap.</w:t>
      </w:r>
    </w:p>
    <w:p>
      <w:pPr>
        <w:pStyle w:val="ListParagraph"/>
        <w:numPr>
          <w:ilvl w:val="0"/>
          <w:numId w:val="3"/>
        </w:numPr>
        <w:spacing w:after="70"/>
      </w:pPr>
      <w:r>
        <w:t xml:space="preserve">Write reports to a PersistentVolume or S3 for the dashboard stack to ingest.</w:t>
      </w:r>
    </w:p>
    <w:p>
      <w:pPr>
        <w:spacing w:after="140"/>
      </w:pPr>
      <w:r>
        <w:t xml:space="preserve">On EKS, use IRSA for S3 access. A GPU node group is needed only when scanning locally hosted models; API or REST targets run on a small CPU pod. An orchestrator such as Argo Workflows can fan out scans per model and probe family.</w:t>
      </w:r>
    </w:p>
    <w:p>
      <w:pPr>
        <w:spacing w:after="140"/>
      </w:pPr>
      <w:r>
        <w:rPr>
          <w:b/>
          <w:bCs/>
        </w:rPr>
        <w:t xml:space="preserve">Recommendation:</w:t>
      </w:r>
      <w:r>
        <w:t xml:space="preserve"> Option B for a fully open source scanner; Option A if NVIDIA licensing is acceptable and you want less engineering.</w:t>
      </w:r>
    </w:p>
    <w:p>
      <w:pPr>
        <w:pStyle w:val="Heading1"/>
      </w:pPr>
      <w:r>
        <w:t xml:space="preserve">7. Recommended rollout</w:t>
      </w:r>
    </w:p>
    <w:p>
      <w:pPr>
        <w:pStyle w:val="ListParagraph"/>
        <w:numPr>
          <w:ilvl w:val="0"/>
          <w:numId w:val="4"/>
        </w:numPr>
        <w:spacing w:after="70"/>
      </w:pPr>
      <w:r>
        <w:t xml:space="preserve">Run Garak against candidate models during model selection.</w:t>
      </w:r>
    </w:p>
    <w:p>
      <w:pPr>
        <w:pStyle w:val="ListParagraph"/>
        <w:numPr>
          <w:ilvl w:val="0"/>
          <w:numId w:val="4"/>
        </w:numPr>
        <w:spacing w:after="70"/>
      </w:pPr>
      <w:r>
        <w:t xml:space="preserve">Add a Promptfoo red team run to CI as a release gate.</w:t>
      </w:r>
    </w:p>
    <w:p>
      <w:pPr>
        <w:pStyle w:val="ListParagraph"/>
        <w:numPr>
          <w:ilvl w:val="0"/>
          <w:numId w:val="4"/>
        </w:numPr>
        <w:spacing w:after="70"/>
      </w:pPr>
      <w:r>
        <w:t xml:space="preserve">Use PyRIT for deeper multi-turn campaigns before major launches.</w:t>
      </w:r>
    </w:p>
    <w:p>
      <w:pPr>
        <w:pStyle w:val="ListParagraph"/>
        <w:numPr>
          <w:ilvl w:val="0"/>
          <w:numId w:val="4"/>
        </w:numPr>
        <w:spacing w:after="70"/>
      </w:pPr>
      <w:r>
        <w:t xml:space="preserve">Deploy NeMo Guardrails with Llama Guard and Prompt Guard at runtime.</w:t>
      </w:r>
    </w:p>
    <w:p>
      <w:pPr>
        <w:pStyle w:val="ListParagraph"/>
        <w:numPr>
          <w:ilvl w:val="0"/>
          <w:numId w:val="4"/>
        </w:numPr>
        <w:spacing w:after="70"/>
      </w:pPr>
      <w:r>
        <w:t xml:space="preserve">Rerun steps 1 and 2 on a schedule, since model and prompt changes reopen old holes.</w:t>
      </w:r>
    </w:p>
    <w:p>
      <w:pPr>
        <w:pStyle w:val="ListParagraph"/>
        <w:numPr>
          <w:ilvl w:val="0"/>
          <w:numId w:val="4"/>
        </w:numPr>
        <w:spacing w:after="70"/>
      </w:pPr>
      <w:r>
        <w:t xml:space="preserve">Feed all scan output into one dashboard to track pass rates per model and release.</w:t>
      </w:r>
    </w:p>
    <w:p>
      <w:pPr>
        <w:pStyle w:val="Heading1"/>
      </w:pPr>
      <w:r>
        <w:t xml:space="preserve">8. Sources</w:t>
      </w:r>
    </w:p>
    <w:p>
      <w:pPr>
        <w:pStyle w:val="ListParagraph"/>
        <w:numPr>
          <w:ilvl w:val="0"/>
          <w:numId w:val="2"/>
        </w:numPr>
        <w:spacing w:after="70"/>
      </w:pPr>
      <w:r>
        <w:t xml:space="preserve">DEV Community: promptfoo vs garak vs Giskard vs PyRIT comparison (dev.to/ventrova)</w:t>
      </w:r>
    </w:p>
    <w:p>
      <w:pPr>
        <w:pStyle w:val="ListParagraph"/>
        <w:numPr>
          <w:ilvl w:val="0"/>
          <w:numId w:val="2"/>
        </w:numPr>
        <w:spacing w:after="70"/>
      </w:pPr>
      <w:r>
        <w:t xml:space="preserve">Augment Code: Prompt Injection Vulnerability Detection guide</w:t>
      </w:r>
    </w:p>
    <w:p>
      <w:pPr>
        <w:pStyle w:val="ListParagraph"/>
        <w:numPr>
          <w:ilvl w:val="0"/>
          <w:numId w:val="2"/>
        </w:numPr>
        <w:spacing w:after="70"/>
      </w:pPr>
      <w:r>
        <w:t xml:space="preserve">AppSec Santa: Promptfoo Alternatives; Garak overview</w:t>
      </w:r>
    </w:p>
    <w:p>
      <w:pPr>
        <w:pStyle w:val="ListParagraph"/>
        <w:numPr>
          <w:ilvl w:val="0"/>
          <w:numId w:val="2"/>
        </w:numPr>
        <w:spacing w:after="70"/>
      </w:pPr>
      <w:r>
        <w:t xml:space="preserve">Braintrust: Best LLM red teaming tools 2026</w:t>
      </w:r>
    </w:p>
    <w:p>
      <w:pPr>
        <w:pStyle w:val="ListParagraph"/>
        <w:numPr>
          <w:ilvl w:val="0"/>
          <w:numId w:val="2"/>
        </w:numPr>
        <w:spacing w:after="70"/>
      </w:pPr>
      <w:r>
        <w:t xml:space="preserve">Obot: Top 5 Open Source AI Security Tools in 2026</w:t>
      </w:r>
    </w:p>
    <w:p>
      <w:pPr>
        <w:pStyle w:val="ListParagraph"/>
        <w:numPr>
          <w:ilvl w:val="0"/>
          <w:numId w:val="2"/>
        </w:numPr>
        <w:spacing w:after="70"/>
      </w:pPr>
      <w:r>
        <w:t xml:space="preserve">StationX: PyRIT Tutorial (2026)</w:t>
      </w:r>
    </w:p>
    <w:p>
      <w:pPr>
        <w:pStyle w:val="ListParagraph"/>
        <w:numPr>
          <w:ilvl w:val="0"/>
          <w:numId w:val="2"/>
        </w:numPr>
        <w:spacing w:after="70"/>
      </w:pPr>
      <w:r>
        <w:t xml:space="preserve">GitHub Marketplace: AgentAuditKit MCP Security Scan</w:t>
      </w:r>
    </w:p>
    <w:p>
      <w:pPr>
        <w:pStyle w:val="ListParagraph"/>
        <w:numPr>
          <w:ilvl w:val="0"/>
          <w:numId w:val="2"/>
        </w:numPr>
        <w:spacing w:after="70"/>
      </w:pPr>
      <w:r>
        <w:t xml:space="preserve">BigData Boutique: AI Guardrails for Production LLM Apps</w:t>
      </w:r>
    </w:p>
    <w:p>
      <w:pPr>
        <w:pStyle w:val="ListParagraph"/>
        <w:numPr>
          <w:ilvl w:val="0"/>
          <w:numId w:val="2"/>
        </w:numPr>
        <w:spacing w:after="70"/>
      </w:pPr>
      <w:r>
        <w:t xml:space="preserve">NVIDIA docs: NeMo Guardrails overview; NeMo Auditor deployment guides</w:t>
      </w:r>
    </w:p>
    <w:p>
      <w:pPr>
        <w:pStyle w:val="ListParagraph"/>
        <w:numPr>
          <w:ilvl w:val="0"/>
          <w:numId w:val="2"/>
        </w:numPr>
        <w:spacing w:after="70"/>
      </w:pPr>
      <w:r>
        <w:t xml:space="preserve">PyPI: garak; GitHub: Garak-inc/garak-python-sdk</w:t>
      </w:r>
    </w:p>
    <w:p>
      <w:pPr>
        <w:spacing w:after="140"/>
      </w:pPr>
      <w:r>
        <w:t xml:space="preserve">Section 3 and parts of sections 4 to 6 draw on general knowledge of the OWASP LLM and Agentic Top 10 lists and of the tools; verify version-specific details against current documentation.</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A8494"/>
        <w:sz w:val="18"/>
        <w:szCs w:val="18"/>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00"/>
      </w:pPr>
    </w:lvl>
  </w:abstractNum>
  <w:abstractNum w:abstractNumId="4"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40" w:before="32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100" w:before="200"/>
      <w:outlineLvl w:val="1"/>
    </w:pPr>
    <w:rPr>
      <w:rFonts w:ascii="Calibri" w:cs="Calibri" w:eastAsia="Calibri" w:hAnsi="Calibri"/>
      <w:b/>
      <w:bCs/>
      <w:color w:val="2E5C8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2026-10-07T04:50:33.497Z</dcterms:created>
  <dcterms:modified xsi:type="dcterms:W3CDTF">2026-10-07T04:50:33.502Z</dcterms:modified>
</cp:coreProperties>
</file>

<file path=docProps/custom.xml><?xml version="1.0" encoding="utf-8"?>
<Properties xmlns="http://schemas.openxmlformats.org/officeDocument/2006/custom-properties" xmlns:vt="http://schemas.openxmlformats.org/officeDocument/2006/docPropsVTypes"/>
</file>