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312E81"/>
          <w:sz w:val="17"/>
        </w:rPr>
        <w:t>LOCAL-FIRST POC CLOSURE</w:t>
      </w:r>
    </w:p>
    <w:p/>
    <w:p>
      <w:pPr>
        <w:jc w:val="left"/>
      </w:pPr>
      <w:r>
        <w:rPr>
          <w:b/>
          <w:color w:val="312E81"/>
          <w:sz w:val="60"/>
        </w:rPr>
        <w:t>Private RFP Tool</w:t>
        <w:br/>
      </w:r>
      <w:r>
        <w:rPr>
          <w:b/>
          <w:color w:val="1F2937"/>
          <w:sz w:val="46"/>
        </w:rPr>
        <w:t>Phase 2 Closure Document</w:t>
      </w:r>
    </w:p>
    <w:p>
      <w:pPr>
        <w:pStyle w:val="Subtitle"/>
      </w:pPr>
      <w:r>
        <w:t>A detailed enterprise closure report covering the problem statement, architecture, implementation, performance observations, limitations, lessons learned, and Phase 3 roadmap.</w:t>
      </w:r>
    </w:p>
    <w:p>
      <w:pPr>
        <w:pBdr>
          <w:bottom w:val="single" w:sz="18" w:space="1" w:color="4F46E5"/>
        </w:pBdr>
      </w:pPr>
    </w:p>
    <w:p/>
    <w:tbl>
      <w:tblPr>
        <w:tblW w:type="auto" w:w="0"/>
        <w:jc w:val="center"/>
        <w:tblLook w:firstColumn="1" w:firstRow="1" w:lastColumn="0" w:lastRow="0" w:noHBand="0" w:noVBand="1" w:val="04A0"/>
      </w:tblPr>
      <w:tblGrid>
        <w:gridCol w:w="3408"/>
        <w:gridCol w:w="3408"/>
        <w:gridCol w:w="3408"/>
      </w:tblGrid>
      <w:tr>
        <w:tc>
          <w:tcPr>
            <w:tcW w:type="dxa" w:w="3408"/>
            <w:tcBorders>
              <w:top w:val="single" w:sz="4" w:space="0" w:color="E2E8F0"/>
              <w:left w:val="single" w:sz="4" w:space="0" w:color="E2E8F0"/>
              <w:bottom w:val="single" w:sz="4" w:space="0" w:color="E2E8F0"/>
              <w:right w:val="single" w:sz="4" w:space="0" w:color="E2E8F0"/>
            </w:tcBorders>
            <w:tcMar>
              <w:top w:w="150" w:type="dxa"/>
              <w:start w:w="120" w:type="dxa"/>
              <w:bottom w:w="150" w:type="dxa"/>
              <w:end w:w="120" w:type="dxa"/>
            </w:tcMar>
            <w:vAlign w:val="center"/>
            <w:shd w:fill="ECFDF5"/>
          </w:tcPr>
          <w:p>
            <w:pPr>
              <w:jc w:val="center"/>
            </w:pPr>
            <w:r>
              <w:rPr>
                <w:b/>
                <w:color w:val="312E81"/>
                <w:sz w:val="36"/>
              </w:rPr>
              <w:t>Local</w:t>
            </w:r>
          </w:p>
          <w:p>
            <w:pPr>
              <w:jc w:val="center"/>
            </w:pPr>
            <w:r>
              <w:rPr>
                <w:b/>
                <w:color w:val="1F2937"/>
                <w:sz w:val="17"/>
              </w:rPr>
              <w:t>Privacy Proof</w:t>
            </w:r>
          </w:p>
          <w:p>
            <w:pPr>
              <w:jc w:val="center"/>
            </w:pPr>
            <w:r>
              <w:rPr>
                <w:color w:val="64748B"/>
                <w:sz w:val="15"/>
              </w:rPr>
              <w:t>No external AI provider in private mode</w:t>
            </w:r>
          </w:p>
        </w:tc>
        <w:tc>
          <w:tcPr>
            <w:tcW w:type="dxa" w:w="3408"/>
            <w:tcBorders>
              <w:top w:val="single" w:sz="4" w:space="0" w:color="E2E8F0"/>
              <w:left w:val="single" w:sz="4" w:space="0" w:color="E2E8F0"/>
              <w:bottom w:val="single" w:sz="4" w:space="0" w:color="E2E8F0"/>
              <w:right w:val="single" w:sz="4" w:space="0" w:color="E2E8F0"/>
            </w:tcBorders>
            <w:tcMar>
              <w:top w:w="150" w:type="dxa"/>
              <w:start w:w="120" w:type="dxa"/>
              <w:bottom w:w="150" w:type="dxa"/>
              <w:end w:w="120" w:type="dxa"/>
            </w:tcMar>
            <w:vAlign w:val="center"/>
            <w:shd w:fill="EEF2FF"/>
          </w:tcPr>
          <w:p>
            <w:pPr>
              <w:jc w:val="center"/>
            </w:pPr>
            <w:r>
              <w:rPr>
                <w:b/>
                <w:color w:val="312E81"/>
                <w:sz w:val="36"/>
              </w:rPr>
              <w:t>Closed</w:t>
            </w:r>
          </w:p>
          <w:p>
            <w:pPr>
              <w:jc w:val="center"/>
            </w:pPr>
            <w:r>
              <w:rPr>
                <w:b/>
                <w:color w:val="1F2937"/>
                <w:sz w:val="17"/>
              </w:rPr>
              <w:t>POC Status</w:t>
            </w:r>
          </w:p>
          <w:p>
            <w:pPr>
              <w:jc w:val="center"/>
            </w:pPr>
            <w:r>
              <w:rPr>
                <w:color w:val="64748B"/>
                <w:sz w:val="15"/>
              </w:rPr>
              <w:t>Successful feasibility proof</w:t>
            </w:r>
          </w:p>
        </w:tc>
        <w:tc>
          <w:tcPr>
            <w:tcW w:type="dxa" w:w="3408"/>
            <w:tcBorders>
              <w:top w:val="single" w:sz="4" w:space="0" w:color="E2E8F0"/>
              <w:left w:val="single" w:sz="4" w:space="0" w:color="E2E8F0"/>
              <w:bottom w:val="single" w:sz="4" w:space="0" w:color="E2E8F0"/>
              <w:right w:val="single" w:sz="4" w:space="0" w:color="E2E8F0"/>
            </w:tcBorders>
            <w:tcMar>
              <w:top w:w="150" w:type="dxa"/>
              <w:start w:w="120" w:type="dxa"/>
              <w:bottom w:w="150" w:type="dxa"/>
              <w:end w:w="120" w:type="dxa"/>
            </w:tcMar>
            <w:vAlign w:val="center"/>
            <w:shd w:fill="FFFBEB"/>
          </w:tcPr>
          <w:p>
            <w:pPr>
              <w:jc w:val="center"/>
            </w:pPr>
            <w:r>
              <w:rPr>
                <w:b/>
                <w:color w:val="312E81"/>
                <w:sz w:val="36"/>
              </w:rPr>
              <w:t>No</w:t>
            </w:r>
          </w:p>
          <w:p>
            <w:pPr>
              <w:jc w:val="center"/>
            </w:pPr>
            <w:r>
              <w:rPr>
                <w:b/>
                <w:color w:val="1F2937"/>
                <w:sz w:val="17"/>
              </w:rPr>
              <w:t>Production Fit</w:t>
            </w:r>
          </w:p>
          <w:p>
            <w:pPr>
              <w:jc w:val="center"/>
            </w:pPr>
            <w:r>
              <w:rPr>
                <w:color w:val="64748B"/>
                <w:sz w:val="15"/>
              </w:rPr>
              <w:t>Requires redesign before scaling</w:t>
            </w:r>
          </w:p>
        </w:tc>
      </w:tr>
    </w:tbl>
    <w:p/>
    <w:tbl>
      <w:tblPr>
        <w:tblW w:type="auto" w:w="0"/>
        <w:jc w:val="center"/>
        <w:tblLayout w:type="autofit"/>
        <w:tblLook w:firstColumn="1" w:firstRow="1" w:lastColumn="0" w:lastRow="0" w:noHBand="0" w:noVBand="1" w:val="04A0"/>
      </w:tblPr>
      <w:tblGrid>
        <w:gridCol w:w="10224"/>
      </w:tblGrid>
      <w:tr>
        <w:tc>
          <w:tcPr>
            <w:tcW w:type="dxa" w:w="10224"/>
            <w:shd w:fill="EEF2FF"/>
            <w:tcBorders>
              <w:top w:val="single" w:sz="8" w:space="0" w:color="4F46E5"/>
              <w:left w:val="single" w:sz="8" w:space="0" w:color="4F46E5"/>
              <w:bottom w:val="single" w:sz="8" w:space="0" w:color="4F46E5"/>
              <w:right w:val="single" w:sz="8" w:space="0" w:color="4F46E5"/>
            </w:tcBorders>
            <w:tcMar>
              <w:top w:w="160" w:type="dxa"/>
              <w:start w:w="180" w:type="dxa"/>
              <w:bottom w:w="160" w:type="dxa"/>
              <w:end w:w="180" w:type="dxa"/>
            </w:tcMar>
          </w:tcPr>
          <w:p>
            <w:pPr>
              <w:pStyle w:val="CalloutTitle"/>
            </w:pPr>
            <w:r>
              <w:rPr>
                <w:b/>
              </w:rPr>
              <w:t>Closure Decision</w:t>
            </w:r>
          </w:p>
          <w:p>
            <w:pPr>
              <w:pStyle w:val="CalloutBody"/>
            </w:pPr>
            <w:r>
              <w:t>Phase 2 should be closed as a successful privacy-first technical POC. It should not be scaled directly to production because the local 3B model, CPU-bound inference, SQLite storage, and synchronous orchestration are not sufficient for enterprise-scale RFP automation.</w:t>
            </w:r>
          </w:p>
        </w:tc>
      </w:tr>
    </w:tbl>
    <w:p/>
    <w:tbl>
      <w:tblPr>
        <w:tblStyle w:val="TableGrid"/>
        <w:tblW w:type="auto" w:w="0"/>
        <w:jc w:val="center"/>
        <w:tblLook w:firstColumn="1" w:firstRow="1" w:lastColumn="0" w:lastRow="0" w:noHBand="0" w:noVBand="1" w:val="04A0"/>
      </w:tblPr>
      <w:tblGrid>
        <w:gridCol w:w="5112"/>
        <w:gridCol w:w="5112"/>
      </w:tblGrid>
      <w:tr>
        <w:tc>
          <w:tcPr>
            <w:tcW w:type="dxa" w:w="2304"/>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Item</w:t>
            </w:r>
          </w:p>
        </w:tc>
        <w:tc>
          <w:tcPr>
            <w:tcW w:type="dxa" w:w="7920"/>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Details</w:t>
            </w:r>
          </w:p>
        </w:tc>
      </w:tr>
      <w:tr>
        <w:tc>
          <w:tcPr>
            <w:tcW w:type="dxa" w:w="230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Project</w:t>
            </w:r>
          </w:p>
        </w:tc>
        <w:tc>
          <w:tcPr>
            <w:tcW w:type="dxa" w:w="79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Private RFP Tool / RFP POC V2</w:t>
            </w:r>
          </w:p>
        </w:tc>
      </w:tr>
      <w:tr>
        <w:tc>
          <w:tcPr>
            <w:tcW w:type="dxa" w:w="230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Phase</w:t>
            </w:r>
          </w:p>
        </w:tc>
        <w:tc>
          <w:tcPr>
            <w:tcW w:type="dxa" w:w="792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Phase 2 - Local-first private RFP automation POC</w:t>
            </w:r>
          </w:p>
        </w:tc>
      </w:tr>
      <w:tr>
        <w:tc>
          <w:tcPr>
            <w:tcW w:type="dxa" w:w="230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Primary Goal</w:t>
            </w:r>
          </w:p>
        </w:tc>
        <w:tc>
          <w:tcPr>
            <w:tcW w:type="dxa" w:w="79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Prove that RFP data can stay local while still supporting upload, search, chat, draft generation, export, audit, and tool access.</w:t>
            </w:r>
          </w:p>
        </w:tc>
      </w:tr>
      <w:tr>
        <w:tc>
          <w:tcPr>
            <w:tcW w:type="dxa" w:w="230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Primary Model</w:t>
            </w:r>
          </w:p>
        </w:tc>
        <w:tc>
          <w:tcPr>
            <w:tcW w:type="dxa" w:w="792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Llama 3.2 3B via Ollama for local chat and draft generation</w:t>
            </w:r>
          </w:p>
        </w:tc>
      </w:tr>
      <w:tr>
        <w:tc>
          <w:tcPr>
            <w:tcW w:type="dxa" w:w="230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Embedding Model</w:t>
            </w:r>
          </w:p>
        </w:tc>
        <w:tc>
          <w:tcPr>
            <w:tcW w:type="dxa" w:w="79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Nomic Embed Text via Ollama</w:t>
            </w:r>
          </w:p>
        </w:tc>
      </w:tr>
      <w:tr>
        <w:tc>
          <w:tcPr>
            <w:tcW w:type="dxa" w:w="230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Current Recommendation</w:t>
            </w:r>
          </w:p>
        </w:tc>
        <w:tc>
          <w:tcPr>
            <w:tcW w:type="dxa" w:w="792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Archive as POC and redesign Phase 3 architecture</w:t>
            </w:r>
          </w:p>
        </w:tc>
      </w:tr>
    </w:tbl>
    <w:p/>
    <w:p>
      <w:r>
        <w:br w:type="page"/>
      </w:r>
    </w:p>
    <w:p>
      <w:pPr>
        <w:pStyle w:val="Heading1"/>
      </w:pPr>
      <w:r>
        <w:t>Table of Contents</w:t>
      </w:r>
    </w:p>
    <w:p>
      <w:pPr/>
      <w:r>
        <w:t>1. Executive Summary</w:t>
      </w:r>
    </w:p>
    <w:p>
      <w:pPr/>
      <w:r>
        <w:t>2. Problem Statement</w:t>
      </w:r>
    </w:p>
    <w:p>
      <w:pPr/>
      <w:r>
        <w:t>3. Phase 1 Background</w:t>
      </w:r>
    </w:p>
    <w:p>
      <w:pPr/>
      <w:r>
        <w:t>4. Phase 2 Objective</w:t>
      </w:r>
    </w:p>
    <w:p>
      <w:pPr/>
      <w:r>
        <w:t>5. Why Llama 3.2 3B Was Chosen</w:t>
      </w:r>
    </w:p>
    <w:p>
      <w:pPr/>
      <w:r>
        <w:t>6. Why the Model Is Not Enough for Production</w:t>
      </w:r>
    </w:p>
    <w:p>
      <w:pPr/>
      <w:r>
        <w:t>7. What We Built</w:t>
      </w:r>
    </w:p>
    <w:p>
      <w:pPr/>
      <w:r>
        <w:t>8. Current Architecture</w:t>
      </w:r>
    </w:p>
    <w:p>
      <w:pPr/>
      <w:r>
        <w:t>9. Backend Services</w:t>
      </w:r>
    </w:p>
    <w:p>
      <w:pPr/>
      <w:r>
        <w:t>10. Database Design</w:t>
      </w:r>
    </w:p>
    <w:p>
      <w:pPr/>
      <w:r>
        <w:t>11. Orchestration</w:t>
      </w:r>
    </w:p>
    <w:p>
      <w:pPr/>
      <w:r>
        <w:t>12. Token and Usage Model</w:t>
      </w:r>
    </w:p>
    <w:p>
      <w:pPr/>
      <w:r>
        <w:t>13. CPU and Performance Observations</w:t>
      </w:r>
    </w:p>
    <w:p>
      <w:pPr/>
      <w:r>
        <w:t>14. What Worked Well</w:t>
      </w:r>
    </w:p>
    <w:p>
      <w:pPr/>
      <w:r>
        <w:t>15. What Failed or Was Not Scalable</w:t>
      </w:r>
    </w:p>
    <w:p>
      <w:pPr/>
      <w:r>
        <w:t>16. Why Not Scale This Directly</w:t>
      </w:r>
    </w:p>
    <w:p>
      <w:pPr/>
      <w:r>
        <w:t>17. Value of the POC</w:t>
      </w:r>
    </w:p>
    <w:p>
      <w:pPr/>
      <w:r>
        <w:t>18. Phase 1 vs Phase 2</w:t>
      </w:r>
    </w:p>
    <w:p>
      <w:pPr/>
      <w:r>
        <w:t>19. Lessons Learned</w:t>
      </w:r>
    </w:p>
    <w:p>
      <w:pPr/>
      <w:r>
        <w:t>20. Future Scope</w:t>
      </w:r>
    </w:p>
    <w:p>
      <w:pPr/>
      <w:r>
        <w:t>21. Recommended Next Architecture</w:t>
      </w:r>
    </w:p>
    <w:p>
      <w:pPr/>
      <w:r>
        <w:t>22. Closure Decision</w:t>
      </w:r>
    </w:p>
    <w:p>
      <w:pPr/>
      <w:r>
        <w:t>23. Readiness Scorecard</w:t>
      </w:r>
    </w:p>
    <w:p>
      <w:pPr/>
      <w:r>
        <w:t>24. Final Summary</w:t>
      </w:r>
    </w:p>
    <w:p>
      <w:r>
        <w:br w:type="page"/>
      </w:r>
    </w:p>
    <w:p>
      <w:pPr>
        <w:pStyle w:val="Heading1"/>
      </w:pPr>
      <w:r>
        <w:t>1. Executive Summary</w:t>
      </w:r>
    </w:p>
    <w:p>
      <w:r>
        <w:t>The Private RFP Tool Phase 2 was created as a privacy-first alternative to the earlier cloud/hybrid RFP automation system. The earlier product direction used cloud AI models for document analysis, chat, draft generation, and proposal automation. That approach was faster and more capable, but it raised an enterprise concern: sensitive RFP data could leave the local environment and be sent to third-party AI providers.</w:t>
      </w:r>
    </w:p>
    <w:p>
      <w:r>
        <w:t>Phase 2 answered a clear feasibility question: can an end-to-end RFP automation workflow run locally, keep the document on the user's machine, support private chat, prepare the document for search, generate a short proposal draft, export a Word document, and record an audit trail without sending RFP data to an external AI provider?</w:t>
      </w:r>
    </w:p>
    <w:tbl>
      <w:tblPr>
        <w:tblW w:type="auto" w:w="0"/>
        <w:jc w:val="center"/>
        <w:tblLayout w:type="autofit"/>
        <w:tblLook w:firstColumn="1" w:firstRow="1" w:lastColumn="0" w:lastRow="0" w:noHBand="0" w:noVBand="1" w:val="04A0"/>
      </w:tblPr>
      <w:tblGrid>
        <w:gridCol w:w="10224"/>
      </w:tblGrid>
      <w:tr>
        <w:tc>
          <w:tcPr>
            <w:tcW w:type="dxa" w:w="10224"/>
            <w:shd w:fill="ECFDF5"/>
            <w:tcBorders>
              <w:top w:val="single" w:sz="8" w:space="0" w:color="16A34A"/>
              <w:left w:val="single" w:sz="8" w:space="0" w:color="16A34A"/>
              <w:bottom w:val="single" w:sz="8" w:space="0" w:color="16A34A"/>
              <w:right w:val="single" w:sz="8" w:space="0" w:color="16A34A"/>
            </w:tcBorders>
            <w:tcMar>
              <w:top w:w="160" w:type="dxa"/>
              <w:start w:w="180" w:type="dxa"/>
              <w:bottom w:w="160" w:type="dxa"/>
              <w:end w:w="180" w:type="dxa"/>
            </w:tcMar>
          </w:tcPr>
          <w:p>
            <w:pPr>
              <w:pStyle w:val="CalloutTitle"/>
            </w:pPr>
            <w:r>
              <w:rPr>
                <w:b/>
              </w:rPr>
              <w:t>Executive Finding</w:t>
            </w:r>
          </w:p>
          <w:p>
            <w:pPr>
              <w:pStyle w:val="CalloutBody"/>
            </w:pPr>
            <w:r>
              <w:t>Phase 2 successfully proved local-first feasibility. It should be closed as a successful POC, but it should not be promoted directly to production because the local 3B model and CPU-bound runtime are not suitable for enterprise-scale proposal generation.</w:t>
            </w:r>
          </w:p>
        </w:tc>
      </w:tr>
    </w:tbl>
    <w:p>
      <w:r>
        <w:t>The system successfully demonstrates local parsing, deterministic classification, local chunking, local embeddings, hybrid retrieval, local Ollama-based chat, short draft generation, DOCX export, audit logging, usage tracking, and a local MCP-style tool layer.</w:t>
      </w:r>
    </w:p>
    <w:p>
      <w:r>
        <w:t>The same testing also exposed limits: slow generation, small-model quality constraints, runtime contention, metadata extraction edge cases, and lack of production-grade orchestration.</w:t>
      </w:r>
    </w:p>
    <w:p>
      <w:pPr>
        <w:pStyle w:val="Heading1"/>
      </w:pPr>
      <w:r>
        <w:t>2. Problem Statement</w:t>
      </w:r>
    </w:p>
    <w:p>
      <w:r>
        <w:t>RFP response creation is a high-effort, high-risk process. Proposal teams must review long tender documents, extract requirements, identify risks, understand deadlines, prepare compliance responses, generate technical sections, and produce a polished proposal document.</w:t>
      </w:r>
    </w:p>
    <w:p>
      <w:pPr>
        <w:pStyle w:val="ListBullet"/>
      </w:pPr>
      <w:r>
        <w:t>Long RFP documents can take hours or days to review manually.</w:t>
      </w:r>
    </w:p>
    <w:p>
      <w:pPr>
        <w:pStyle w:val="ListBullet"/>
      </w:pPr>
      <w:r>
        <w:t>Critical deadlines, eligibility clauses, penalties, mandatory requirements, and compliance conditions can be missed.</w:t>
      </w:r>
    </w:p>
    <w:p>
      <w:pPr>
        <w:pStyle w:val="ListBullet"/>
      </w:pPr>
      <w:r>
        <w:t>Proposal writing is often inconsistent across teams and sections.</w:t>
      </w:r>
    </w:p>
    <w:p>
      <w:pPr>
        <w:pStyle w:val="ListBullet"/>
      </w:pPr>
      <w:r>
        <w:t>Human review cycles can stretch across multiple days or weeks.</w:t>
      </w:r>
    </w:p>
    <w:p>
      <w:pPr>
        <w:pStyle w:val="ListBullet"/>
      </w:pPr>
      <w:r>
        <w:t>Sensitive RFP data creates concerns when sent to external AI APIs.</w:t>
      </w:r>
    </w:p>
    <w:p>
      <w:pPr>
        <w:pStyle w:val="ListBullet"/>
      </w:pPr>
      <w:r>
        <w:t>Cloud model dependency introduces quota, latency, provider, and pricing risk.</w:t>
      </w:r>
    </w:p>
    <w:p>
      <w:r>
        <w:t>Phase 2 was designed to address the privacy side of the problem by proving that the RFP workflow can be moved into a local-first architecture.</w:t>
      </w:r>
    </w:p>
    <w:p>
      <w:pPr>
        <w:pStyle w:val="Heading1"/>
      </w:pPr>
      <w:r>
        <w:t>3. Earlier Version Overview - Phase 1 Cloud / Hybrid RFP System</w:t>
      </w:r>
    </w:p>
    <w:p>
      <w:r>
        <w:t>Before Phase 2, the product used a cloud/hybrid architecture. It included a FastAPI backend, PostgreSQL database, React/Next.js frontend, PM and SA role flows, RFP upload, metadata extraction, AI analysis, approval workflow, draft generation, compliance matrix, and document export.</w:t>
      </w:r>
    </w:p>
    <w:tbl>
      <w:tblPr>
        <w:tblStyle w:val="TableGrid"/>
        <w:tblW w:type="auto" w:w="0"/>
        <w:jc w:val="center"/>
        <w:tblLook w:firstColumn="1" w:firstRow="1" w:lastColumn="0" w:lastRow="0" w:noHBand="0" w:noVBand="1" w:val="04A0"/>
      </w:tblPr>
      <w:tblGrid>
        <w:gridCol w:w="5112"/>
        <w:gridCol w:w="5112"/>
      </w:tblGrid>
      <w:tr>
        <w:tc>
          <w:tcPr>
            <w:tcW w:type="dxa" w:w="3024"/>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Phase 1 Strength</w:t>
            </w:r>
          </w:p>
        </w:tc>
        <w:tc>
          <w:tcPr>
            <w:tcW w:type="dxa" w:w="6912"/>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Explanation</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Long-context AI</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Cloud models handled larger documents and complex reasoning more effectively.</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Faster generation</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Cloud inference was more practical for long draft generation.</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Better draft quality</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Generated proposal sections were usually stronger than small local-model outputs.</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Easier scaling</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Cloud inference can scale more easily than a single laptop runtime.</w:t>
            </w:r>
          </w:p>
        </w:tc>
      </w:tr>
    </w:tbl>
    <w:p/>
    <w:tbl>
      <w:tblPr>
        <w:tblStyle w:val="TableGrid"/>
        <w:tblW w:type="auto" w:w="0"/>
        <w:jc w:val="center"/>
        <w:tblLook w:firstColumn="1" w:firstRow="1" w:lastColumn="0" w:lastRow="0" w:noHBand="0" w:noVBand="1" w:val="04A0"/>
      </w:tblPr>
      <w:tblGrid>
        <w:gridCol w:w="5112"/>
        <w:gridCol w:w="5112"/>
      </w:tblGrid>
      <w:tr>
        <w:tc>
          <w:tcPr>
            <w:tcW w:type="dxa" w:w="3024"/>
            <w:shd w:fill="92400E"/>
            <w:tcBorders>
              <w:top w:val="single" w:sz="4" w:space="0" w:color="92400E"/>
              <w:left w:val="single" w:sz="4" w:space="0" w:color="92400E"/>
              <w:bottom w:val="single" w:sz="4" w:space="0" w:color="92400E"/>
              <w:right w:val="single" w:sz="4" w:space="0" w:color="92400E"/>
            </w:tcBorders>
            <w:tcMar>
              <w:top w:w="100" w:type="dxa"/>
              <w:start w:w="120" w:type="dxa"/>
              <w:bottom w:w="100" w:type="dxa"/>
              <w:end w:w="120" w:type="dxa"/>
            </w:tcMar>
          </w:tcPr>
          <w:p>
            <w:pPr>
              <w:jc w:val="left"/>
            </w:pPr>
            <w:r>
              <w:rPr>
                <w:b/>
                <w:color w:val="FFFFFF"/>
                <w:sz w:val="17"/>
              </w:rPr>
              <w:t>Phase 1 Concern</w:t>
            </w:r>
          </w:p>
        </w:tc>
        <w:tc>
          <w:tcPr>
            <w:tcW w:type="dxa" w:w="6912"/>
            <w:shd w:fill="92400E"/>
            <w:tcBorders>
              <w:top w:val="single" w:sz="4" w:space="0" w:color="92400E"/>
              <w:left w:val="single" w:sz="4" w:space="0" w:color="92400E"/>
              <w:bottom w:val="single" w:sz="4" w:space="0" w:color="92400E"/>
              <w:right w:val="single" w:sz="4" w:space="0" w:color="92400E"/>
            </w:tcBorders>
            <w:tcMar>
              <w:top w:w="100" w:type="dxa"/>
              <w:start w:w="120" w:type="dxa"/>
              <w:bottom w:w="100" w:type="dxa"/>
              <w:end w:w="120" w:type="dxa"/>
            </w:tcMar>
          </w:tcPr>
          <w:p>
            <w:pPr>
              <w:jc w:val="left"/>
            </w:pPr>
            <w:r>
              <w:rPr>
                <w:b/>
                <w:color w:val="FFFFFF"/>
                <w:sz w:val="17"/>
              </w:rPr>
              <w:t>Explanation</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Data movement</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RFP content may leave the local environment and be sent to third-party model providers.</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Policy dependency</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system depends on provider privacy, retention, and API policies.</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Cost and quota</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Token cost, quotas, and provider outages can affect operations.</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Enterprise objections</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Sensitive sectors may require on-premise or private deployment.</w:t>
            </w:r>
          </w:p>
        </w:tc>
      </w:tr>
    </w:tbl>
    <w:p/>
    <w:p>
      <w:pPr>
        <w:pStyle w:val="Heading1"/>
      </w:pPr>
      <w:r>
        <w:t>4. Phase 2 Objective</w:t>
      </w:r>
    </w:p>
    <w:p>
      <w:r>
        <w:t>The goal of Phase 2 was not to outperform cloud AI models. The goal was to test whether a private RFP automation workflow could be built with local processing and local inference.</w:t>
      </w:r>
    </w:p>
    <w:p>
      <w:pPr>
        <w:pStyle w:val="ListNumber"/>
      </w:pPr>
      <w:r>
        <w:t>Upload an RFP locally.</w:t>
      </w:r>
    </w:p>
    <w:p>
      <w:pPr>
        <w:pStyle w:val="ListNumber"/>
      </w:pPr>
      <w:r>
        <w:t>Extract text locally.</w:t>
      </w:r>
    </w:p>
    <w:p>
      <w:pPr>
        <w:pStyle w:val="ListNumber"/>
      </w:pPr>
      <w:r>
        <w:t>Classify document quality locally.</w:t>
      </w:r>
    </w:p>
    <w:p>
      <w:pPr>
        <w:pStyle w:val="ListNumber"/>
      </w:pPr>
      <w:r>
        <w:t>Split the document into searchable sections locally.</w:t>
      </w:r>
    </w:p>
    <w:p>
      <w:pPr>
        <w:pStyle w:val="ListNumber"/>
      </w:pPr>
      <w:r>
        <w:t>Generate embeddings locally.</w:t>
      </w:r>
    </w:p>
    <w:p>
      <w:pPr>
        <w:pStyle w:val="ListNumber"/>
      </w:pPr>
      <w:r>
        <w:t>Answer RFP questions using local retrieval and a local model.</w:t>
      </w:r>
    </w:p>
    <w:p>
      <w:pPr>
        <w:pStyle w:val="ListNumber"/>
      </w:pPr>
      <w:r>
        <w:t>Generate a short draft locally.</w:t>
      </w:r>
    </w:p>
    <w:p>
      <w:pPr>
        <w:pStyle w:val="ListNumber"/>
      </w:pPr>
      <w:r>
        <w:t>Export a Word document locally.</w:t>
      </w:r>
    </w:p>
    <w:p>
      <w:pPr>
        <w:pStyle w:val="ListNumber"/>
      </w:pPr>
      <w:r>
        <w:t>Record audit logs and local usage metrics.</w:t>
      </w:r>
    </w:p>
    <w:p>
      <w:pPr>
        <w:pStyle w:val="ListNumber"/>
      </w:pPr>
      <w:r>
        <w:t>Expose controlled local tools through an MCP-style layer.</w:t>
      </w:r>
    </w:p>
    <w:tbl>
      <w:tblPr>
        <w:tblW w:type="auto" w:w="0"/>
        <w:jc w:val="center"/>
        <w:tblLayout w:type="autofit"/>
        <w:tblLook w:firstColumn="1" w:firstRow="1" w:lastColumn="0" w:lastRow="0" w:noHBand="0" w:noVBand="1" w:val="04A0"/>
      </w:tblPr>
      <w:tblGrid>
        <w:gridCol w:w="10224"/>
      </w:tblGrid>
      <w:tr>
        <w:tc>
          <w:tcPr>
            <w:tcW w:type="dxa" w:w="10224"/>
            <w:shd w:fill="FFFBEB"/>
            <w:tcBorders>
              <w:top w:val="single" w:sz="8" w:space="0" w:color="D97706"/>
              <w:left w:val="single" w:sz="8" w:space="0" w:color="D97706"/>
              <w:bottom w:val="single" w:sz="8" w:space="0" w:color="D97706"/>
              <w:right w:val="single" w:sz="8" w:space="0" w:color="D97706"/>
            </w:tcBorders>
            <w:tcMar>
              <w:top w:w="160" w:type="dxa"/>
              <w:start w:w="180" w:type="dxa"/>
              <w:bottom w:w="160" w:type="dxa"/>
              <w:end w:w="180" w:type="dxa"/>
            </w:tcMar>
          </w:tcPr>
          <w:p>
            <w:pPr>
              <w:pStyle w:val="CalloutTitle"/>
            </w:pPr>
            <w:r>
              <w:rPr>
                <w:b/>
              </w:rPr>
              <w:t>Phase 2 Principle</w:t>
            </w:r>
          </w:p>
          <w:p>
            <w:pPr>
              <w:pStyle w:val="CalloutBody"/>
            </w:pPr>
            <w:r>
              <w:t>The objective was to validate local privacy and workflow feasibility, not to claim production-grade generation speed or full enterprise proposal quality.</w:t>
            </w:r>
          </w:p>
        </w:tc>
      </w:tr>
    </w:tbl>
    <w:p>
      <w:pPr>
        <w:pStyle w:val="Heading1"/>
      </w:pPr>
      <w:r>
        <w:t>5. Why We Chose Llama 3.2 3B</w:t>
      </w:r>
    </w:p>
    <w:p>
      <w:r>
        <w:t>Llama 3.2 3B was chosen intentionally for the feasibility POC. It was not selected as the final production model. It was selected because it was small enough to run locally on the available laptop and easy to serve through Ollama.</w:t>
      </w:r>
    </w:p>
    <w:tbl>
      <w:tblPr>
        <w:tblStyle w:val="TableGrid"/>
        <w:tblW w:type="auto" w:w="0"/>
        <w:jc w:val="center"/>
        <w:tblLook w:firstColumn="1" w:firstRow="1" w:lastColumn="0" w:lastRow="0" w:noHBand="0" w:noVBand="1" w:val="04A0"/>
      </w:tblPr>
      <w:tblGrid>
        <w:gridCol w:w="5112"/>
        <w:gridCol w:w="5112"/>
      </w:tblGrid>
      <w:tr>
        <w:tc>
          <w:tcPr>
            <w:tcW w:type="dxa" w:w="2880"/>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Reason</w:t>
            </w:r>
          </w:p>
        </w:tc>
        <w:tc>
          <w:tcPr>
            <w:tcW w:type="dxa" w:w="7056"/>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Why It Mattered</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Runs locally</w:t>
            </w:r>
          </w:p>
        </w:tc>
        <w:tc>
          <w:tcPr>
            <w:tcW w:type="dxa" w:w="705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target machine had 16 GB RAM and no dedicated GPU. A 3B model was a practical starting point.</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Available through Ollama</w:t>
            </w:r>
          </w:p>
        </w:tc>
        <w:tc>
          <w:tcPr>
            <w:tcW w:type="dxa" w:w="705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Ollama reduced setup complexity and provided a local runtime quickly.</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Lightweight for experimentation</w:t>
            </w:r>
          </w:p>
        </w:tc>
        <w:tc>
          <w:tcPr>
            <w:tcW w:type="dxa" w:w="705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It enabled testing of local chat, retrieval, and short generation without heavy infrastructure.</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Privacy aligned</w:t>
            </w:r>
          </w:p>
        </w:tc>
        <w:tc>
          <w:tcPr>
            <w:tcW w:type="dxa" w:w="705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All inference could remain on the local machine.</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Cost controlled</w:t>
            </w:r>
          </w:p>
        </w:tc>
        <w:tc>
          <w:tcPr>
            <w:tcW w:type="dxa" w:w="705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No paid external AI tokens were consumed in private mode.</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Architecture validation</w:t>
            </w:r>
          </w:p>
        </w:tc>
        <w:tc>
          <w:tcPr>
            <w:tcW w:type="dxa" w:w="705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It allowed testing of parsing, embeddings, retrieval, chat, export, audit, and UI flow.</w:t>
            </w:r>
          </w:p>
        </w:tc>
      </w:tr>
    </w:tbl>
    <w:p/>
    <w:p>
      <w:r>
        <w:t>The model was therefore a feasibility choice, not a production choice.</w:t>
      </w:r>
    </w:p>
    <w:p>
      <w:pPr>
        <w:pStyle w:val="Heading1"/>
      </w:pPr>
      <w:r>
        <w:t>6. Why This Model Is Not Enough for Production</w:t>
      </w:r>
    </w:p>
    <w:p>
      <w:pPr>
        <w:pStyle w:val="ListBullet"/>
      </w:pPr>
      <w:r>
        <w:t>Generation speed on CPU is too slow for stakeholder expectations.</w:t>
      </w:r>
    </w:p>
    <w:p>
      <w:pPr>
        <w:pStyle w:val="ListBullet"/>
      </w:pPr>
      <w:r>
        <w:t>A 3B model cannot reliably generate enterprise-grade RFP proposal sections across complex domains.</w:t>
      </w:r>
    </w:p>
    <w:p>
      <w:pPr>
        <w:pStyle w:val="ListBullet"/>
      </w:pPr>
      <w:r>
        <w:t>Modern proposal writing often needs current architecture, security, AI, and implementation language beyond what a small local model can consistently provide.</w:t>
      </w:r>
    </w:p>
    <w:p>
      <w:pPr>
        <w:pStyle w:val="ListBullet"/>
      </w:pPr>
      <w:r>
        <w:t>The local runtime can become busy when chat, embeddings, and draft generation compete for resources.</w:t>
      </w:r>
    </w:p>
    <w:p>
      <w:pPr>
        <w:pStyle w:val="ListBullet"/>
      </w:pPr>
      <w:r>
        <w:t>The current setup cannot support many users, concurrent RFPs, or long-generation workloads.</w:t>
      </w:r>
    </w:p>
    <w:p>
      <w:pPr>
        <w:pStyle w:val="ListBullet"/>
      </w:pPr>
      <w:r>
        <w:t>The system needs production orchestration, queueing, monitoring, and stronger model routing before scaling.</w:t>
      </w:r>
    </w:p>
    <w:tbl>
      <w:tblPr>
        <w:tblW w:type="auto" w:w="0"/>
        <w:jc w:val="center"/>
        <w:tblLayout w:type="autofit"/>
        <w:tblLook w:firstColumn="1" w:firstRow="1" w:lastColumn="0" w:lastRow="0" w:noHBand="0" w:noVBand="1" w:val="04A0"/>
      </w:tblPr>
      <w:tblGrid>
        <w:gridCol w:w="10224"/>
      </w:tblGrid>
      <w:tr>
        <w:tc>
          <w:tcPr>
            <w:tcW w:type="dxa" w:w="10224"/>
            <w:shd w:fill="FEE2E2"/>
            <w:tcBorders>
              <w:top w:val="single" w:sz="8" w:space="0" w:color="DC2626"/>
              <w:left w:val="single" w:sz="8" w:space="0" w:color="DC2626"/>
              <w:bottom w:val="single" w:sz="8" w:space="0" w:color="DC2626"/>
              <w:right w:val="single" w:sz="8" w:space="0" w:color="DC2626"/>
            </w:tcBorders>
            <w:tcMar>
              <w:top w:w="160" w:type="dxa"/>
              <w:start w:w="180" w:type="dxa"/>
              <w:bottom w:w="160" w:type="dxa"/>
              <w:end w:w="180" w:type="dxa"/>
            </w:tcMar>
          </w:tcPr>
          <w:p>
            <w:pPr>
              <w:pStyle w:val="CalloutTitle"/>
            </w:pPr>
            <w:r>
              <w:rPr>
                <w:b/>
              </w:rPr>
              <w:t>Key Production Risk</w:t>
            </w:r>
          </w:p>
          <w:p>
            <w:pPr>
              <w:pStyle w:val="CalloutBody"/>
            </w:pPr>
            <w:r>
              <w:t>The issue is not only model knowledge cutoff. The bigger issue is the combination of model size, CPU inference, generation latency, quality constraints, and lack of production orchestration.</w:t>
            </w:r>
          </w:p>
        </w:tc>
      </w:tr>
    </w:tbl>
    <w:p>
      <w:pPr>
        <w:pStyle w:val="Heading1"/>
      </w:pPr>
      <w:r>
        <w:t>7. What We Built in Phase 2</w:t>
      </w:r>
    </w:p>
    <w:tbl>
      <w:tblPr>
        <w:tblStyle w:val="TableGrid"/>
        <w:tblW w:type="auto" w:w="0"/>
        <w:jc w:val="center"/>
        <w:tblLook w:firstColumn="1" w:firstRow="1" w:lastColumn="0" w:lastRow="0" w:noHBand="0" w:noVBand="1" w:val="04A0"/>
      </w:tblPr>
      <w:tblGrid>
        <w:gridCol w:w="5112"/>
        <w:gridCol w:w="5112"/>
      </w:tblGrid>
      <w:tr>
        <w:tc>
          <w:tcPr>
            <w:tcW w:type="dxa" w:w="2448"/>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Layer</w:t>
            </w:r>
          </w:p>
        </w:tc>
        <w:tc>
          <w:tcPr>
            <w:tcW w:type="dxa" w:w="7488"/>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Delivered Capability</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Backend</w:t>
            </w:r>
          </w:p>
        </w:tc>
        <w:tc>
          <w:tcPr>
            <w:tcW w:type="dxa" w:w="74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FastAPI services for upload, parsing, classification, metadata extraction, chunking, embeddings, retrieval, chat, generation, export, audit, usage, and MCP tools.</w:t>
            </w:r>
          </w:p>
        </w:tc>
      </w:tr>
      <w:tr>
        <w:tc>
          <w:tcPr>
            <w:tcW w:type="dxa" w:w="244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Frontend</w:t>
            </w:r>
          </w:p>
        </w:tc>
        <w:tc>
          <w:tcPr>
            <w:tcW w:type="dxa" w:w="748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Next.js UI with dashboard, upload, RFP detail, private chat, draft workspace, audit, and settings pages.</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AI</w:t>
            </w:r>
          </w:p>
        </w:tc>
        <w:tc>
          <w:tcPr>
            <w:tcW w:type="dxa" w:w="74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Ollama with Llama 3.2 3B for chat/generation and Nomic Embed Text for local embeddings.</w:t>
            </w:r>
          </w:p>
        </w:tc>
      </w:tr>
      <w:tr>
        <w:tc>
          <w:tcPr>
            <w:tcW w:type="dxa" w:w="244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Workflow</w:t>
            </w:r>
          </w:p>
        </w:tc>
        <w:tc>
          <w:tcPr>
            <w:tcW w:type="dxa" w:w="748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Upload, check document, prepare for chat, ask questions, generate short draft, export DOCX, review activity.</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Safety</w:t>
            </w:r>
          </w:p>
        </w:tc>
        <w:tc>
          <w:tcPr>
            <w:tcW w:type="dxa" w:w="74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Audit logs, usage logs, generation locks, stale job handling, invalid draft blocking, and local-only indicators.</w:t>
            </w:r>
          </w:p>
        </w:tc>
      </w:tr>
    </w:tbl>
    <w:p/>
    <w:p>
      <w:pPr>
        <w:pStyle w:val="Heading1"/>
      </w:pPr>
      <w:r>
        <w:t>8. Current Architecture</w:t>
      </w:r>
    </w:p>
    <w:p>
      <w:r>
        <w:t>The Phase 2 architecture is local-first and service-based. It is designed for a single-machine POC, not a distributed production environment.</w:t>
      </w:r>
    </w:p>
    <w:tbl>
      <w:tblPr>
        <w:tblStyle w:val="TableGrid"/>
        <w:tblW w:type="auto" w:w="0"/>
        <w:jc w:val="center"/>
        <w:tblLook w:firstColumn="1" w:firstRow="1" w:lastColumn="0" w:lastRow="0" w:noHBand="0" w:noVBand="1" w:val="04A0"/>
      </w:tblPr>
      <w:tblGrid>
        <w:gridCol w:w="5112"/>
        <w:gridCol w:w="5112"/>
      </w:tblGrid>
      <w:tr>
        <w:tc>
          <w:tcPr>
            <w:tcW w:type="dxa" w:w="3024"/>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Component</w:t>
            </w:r>
          </w:p>
        </w:tc>
        <w:tc>
          <w:tcPr>
            <w:tcW w:type="dxa" w:w="6912"/>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Responsibility</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Next.js Frontend</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User interface for upload, review, chat, draft generation, export, audit, and settings.</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FastAPI Backend</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Application logic, routes, local orchestration, validations, and service calls.</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SQLite Database</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storage for document records, chunks, embeddings, draft sections, jobs, audit logs, and usage logs.</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File Storage</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Uploaded files and exported DOCX files.</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Ollama Runtime</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model server for chat/generation and embeddings.</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MCP Tool Layer</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Controlled local tool access for listing, searching, chat, generation, quality, and export.</w:t>
            </w:r>
          </w:p>
        </w:tc>
      </w:tr>
    </w:tbl>
    <w:p/>
    <w:tbl>
      <w:tblPr>
        <w:tblW w:type="auto" w:w="0"/>
        <w:jc w:val="center"/>
        <w:tblLayout w:type="autofit"/>
        <w:tblLook w:firstColumn="1" w:firstRow="1" w:lastColumn="0" w:lastRow="0" w:noHBand="0" w:noVBand="1" w:val="04A0"/>
      </w:tblPr>
      <w:tblGrid>
        <w:gridCol w:w="10224"/>
      </w:tblGrid>
      <w:tr>
        <w:tc>
          <w:tcPr>
            <w:tcW w:type="dxa" w:w="10224"/>
            <w:shd w:fill="EEF2FF"/>
            <w:tcBorders>
              <w:top w:val="single" w:sz="8" w:space="0" w:color="4F46E5"/>
              <w:left w:val="single" w:sz="8" w:space="0" w:color="4F46E5"/>
              <w:bottom w:val="single" w:sz="8" w:space="0" w:color="4F46E5"/>
              <w:right w:val="single" w:sz="8" w:space="0" w:color="4F46E5"/>
            </w:tcBorders>
            <w:tcMar>
              <w:top w:w="160" w:type="dxa"/>
              <w:start w:w="180" w:type="dxa"/>
              <w:bottom w:w="160" w:type="dxa"/>
              <w:end w:w="180" w:type="dxa"/>
            </w:tcMar>
          </w:tcPr>
          <w:p>
            <w:pPr>
              <w:pStyle w:val="CalloutTitle"/>
            </w:pPr>
            <w:r>
              <w:rPr>
                <w:b/>
              </w:rPr>
              <w:t>Architecture Flow</w:t>
            </w:r>
          </w:p>
          <w:p>
            <w:pPr>
              <w:pStyle w:val="CalloutBody"/>
            </w:pPr>
            <w:r>
              <w:t>Upload RFP -&gt; parse locally -&gt; classify -&gt; extract metadata -&gt; chunk -&gt; prepare local search -&gt; retrieve sections -&gt; answer with local model -&gt; generate short draft -&gt; export DOCX -&gt; log audit and usage.</w:t>
            </w:r>
          </w:p>
        </w:tc>
      </w:tr>
    </w:tbl>
    <w:p>
      <w:pPr>
        <w:pStyle w:val="Heading1"/>
      </w:pPr>
      <w:r>
        <w:t>9. Backend Services</w:t>
      </w:r>
    </w:p>
    <w:tbl>
      <w:tblPr>
        <w:tblStyle w:val="TableGrid"/>
        <w:tblW w:type="auto" w:w="0"/>
        <w:jc w:val="center"/>
        <w:tblLook w:firstColumn="1" w:firstRow="1" w:lastColumn="0" w:lastRow="0" w:noHBand="0" w:noVBand="1" w:val="04A0"/>
      </w:tblPr>
      <w:tblGrid>
        <w:gridCol w:w="5112"/>
        <w:gridCol w:w="5112"/>
      </w:tblGrid>
      <w:tr>
        <w:tc>
          <w:tcPr>
            <w:tcW w:type="dxa" w:w="3312"/>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Service</w:t>
            </w:r>
          </w:p>
        </w:tc>
        <w:tc>
          <w:tcPr>
            <w:tcW w:type="dxa" w:w="6768"/>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Purpose</w:t>
            </w:r>
          </w:p>
        </w:tc>
      </w:tr>
      <w:tr>
        <w:tc>
          <w:tcPr>
            <w:tcW w:type="dxa" w:w="33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Upload Service</w:t>
            </w:r>
          </w:p>
        </w:tc>
        <w:tc>
          <w:tcPr>
            <w:tcW w:type="dxa" w:w="67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Stores files locally and creates the RFP record.</w:t>
            </w:r>
          </w:p>
        </w:tc>
      </w:tr>
      <w:tr>
        <w:tc>
          <w:tcPr>
            <w:tcW w:type="dxa" w:w="33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Parsing Service</w:t>
            </w:r>
          </w:p>
        </w:tc>
        <w:tc>
          <w:tcPr>
            <w:tcW w:type="dxa" w:w="67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Extracts text and computes page, word, character, and line metrics.</w:t>
            </w:r>
          </w:p>
        </w:tc>
      </w:tr>
      <w:tr>
        <w:tc>
          <w:tcPr>
            <w:tcW w:type="dxa" w:w="33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Classification Service</w:t>
            </w:r>
          </w:p>
        </w:tc>
        <w:tc>
          <w:tcPr>
            <w:tcW w:type="dxa" w:w="67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Decides whether a document is ready, limited, insufficient, or extraction-challenged.</w:t>
            </w:r>
          </w:p>
        </w:tc>
      </w:tr>
      <w:tr>
        <w:tc>
          <w:tcPr>
            <w:tcW w:type="dxa" w:w="33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Metadata Extraction Service</w:t>
            </w:r>
          </w:p>
        </w:tc>
        <w:tc>
          <w:tcPr>
            <w:tcW w:type="dxa" w:w="67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Extracts title, client, deadline, and submission-date signals with deterministic heuristics.</w:t>
            </w:r>
          </w:p>
        </w:tc>
      </w:tr>
      <w:tr>
        <w:tc>
          <w:tcPr>
            <w:tcW w:type="dxa" w:w="33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Chunking Service</w:t>
            </w:r>
          </w:p>
        </w:tc>
        <w:tc>
          <w:tcPr>
            <w:tcW w:type="dxa" w:w="67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Splits RFP text into local searchable sections.</w:t>
            </w:r>
          </w:p>
        </w:tc>
      </w:tr>
      <w:tr>
        <w:tc>
          <w:tcPr>
            <w:tcW w:type="dxa" w:w="33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Embedding Service</w:t>
            </w:r>
          </w:p>
        </w:tc>
        <w:tc>
          <w:tcPr>
            <w:tcW w:type="dxa" w:w="67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Uses local embedding model to create vectors for document sections.</w:t>
            </w:r>
          </w:p>
        </w:tc>
      </w:tr>
      <w:tr>
        <w:tc>
          <w:tcPr>
            <w:tcW w:type="dxa" w:w="33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Retrieval Service</w:t>
            </w:r>
          </w:p>
        </w:tc>
        <w:tc>
          <w:tcPr>
            <w:tcW w:type="dxa" w:w="67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Uses lexical and vector search to find relevant sections.</w:t>
            </w:r>
          </w:p>
        </w:tc>
      </w:tr>
      <w:tr>
        <w:tc>
          <w:tcPr>
            <w:tcW w:type="dxa" w:w="33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Private Chat Service</w:t>
            </w:r>
          </w:p>
        </w:tc>
        <w:tc>
          <w:tcPr>
            <w:tcW w:type="dxa" w:w="67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Handles local intents and RFP questions through retrieval + local AI.</w:t>
            </w:r>
          </w:p>
        </w:tc>
      </w:tr>
      <w:tr>
        <w:tc>
          <w:tcPr>
            <w:tcW w:type="dxa" w:w="33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AI Runtime Service</w:t>
            </w:r>
          </w:p>
        </w:tc>
        <w:tc>
          <w:tcPr>
            <w:tcW w:type="dxa" w:w="67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Coordinates Ollama calls, runtime locks, and local error classification.</w:t>
            </w:r>
          </w:p>
        </w:tc>
      </w:tr>
      <w:tr>
        <w:tc>
          <w:tcPr>
            <w:tcW w:type="dxa" w:w="33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Draft Generation Service</w:t>
            </w:r>
          </w:p>
        </w:tc>
        <w:tc>
          <w:tcPr>
            <w:tcW w:type="dxa" w:w="67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Generates controlled 8-section drafts with progress tracking and validation.</w:t>
            </w:r>
          </w:p>
        </w:tc>
      </w:tr>
      <w:tr>
        <w:tc>
          <w:tcPr>
            <w:tcW w:type="dxa" w:w="33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Export Service</w:t>
            </w:r>
          </w:p>
        </w:tc>
        <w:tc>
          <w:tcPr>
            <w:tcW w:type="dxa" w:w="67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Creates Word documents and blocks invalid draft exports.</w:t>
            </w:r>
          </w:p>
        </w:tc>
      </w:tr>
      <w:tr>
        <w:tc>
          <w:tcPr>
            <w:tcW w:type="dxa" w:w="33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Audit Service</w:t>
            </w:r>
          </w:p>
        </w:tc>
        <w:tc>
          <w:tcPr>
            <w:tcW w:type="dxa" w:w="67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Records key actions and local-only proof.</w:t>
            </w:r>
          </w:p>
        </w:tc>
      </w:tr>
      <w:tr>
        <w:tc>
          <w:tcPr>
            <w:tcW w:type="dxa" w:w="33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Usage Service</w:t>
            </w:r>
          </w:p>
        </w:tc>
        <w:tc>
          <w:tcPr>
            <w:tcW w:type="dxa" w:w="67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Tracks local model calls, estimated tokens, elapsed time, and operation type.</w:t>
            </w:r>
          </w:p>
        </w:tc>
      </w:tr>
      <w:tr>
        <w:tc>
          <w:tcPr>
            <w:tcW w:type="dxa" w:w="33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MCP Tool Layer</w:t>
            </w:r>
          </w:p>
        </w:tc>
        <w:tc>
          <w:tcPr>
            <w:tcW w:type="dxa" w:w="67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Exposes controlled local tools for future agent/tool workflows.</w:t>
            </w:r>
          </w:p>
        </w:tc>
      </w:tr>
    </w:tbl>
    <w:p/>
    <w:p>
      <w:pPr>
        <w:pStyle w:val="Heading1"/>
      </w:pPr>
      <w:r>
        <w:t>10. Database Design</w:t>
      </w:r>
    </w:p>
    <w:p>
      <w:r>
        <w:t>The local POC uses SQLite. For production, this should be migrated to PostgreSQL with a proper migration system, user/tenant isolation, role-based access, and potentially pgvector for vector search.</w:t>
      </w:r>
    </w:p>
    <w:tbl>
      <w:tblPr>
        <w:tblStyle w:val="TableGrid"/>
        <w:tblW w:type="auto" w:w="0"/>
        <w:jc w:val="center"/>
        <w:tblLook w:firstColumn="1" w:firstRow="1" w:lastColumn="0" w:lastRow="0" w:noHBand="0" w:noVBand="1" w:val="04A0"/>
      </w:tblPr>
      <w:tblGrid>
        <w:gridCol w:w="5112"/>
        <w:gridCol w:w="5112"/>
      </w:tblGrid>
      <w:tr>
        <w:tc>
          <w:tcPr>
            <w:tcW w:type="dxa" w:w="2880"/>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Table</w:t>
            </w:r>
          </w:p>
        </w:tc>
        <w:tc>
          <w:tcPr>
            <w:tcW w:type="dxa" w:w="7200"/>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Primary Role</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RFPDocument</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Stores uploaded document metadata, extracted text, status, quality, title/client/deadline signals, and timestamps.</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RFPChunk</w:t>
            </w:r>
          </w:p>
        </w:tc>
        <w:tc>
          <w:tcPr>
            <w:tcW w:type="dxa" w:w="72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Stores searchable document sections and local embeddings.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RFPDraftSection</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Stores generated draft sections in deterministic section order.</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RFPDraftExport</w:t>
            </w:r>
          </w:p>
        </w:tc>
        <w:tc>
          <w:tcPr>
            <w:tcW w:type="dxa" w:w="72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Stores DOCX export metadata and quality reports.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GenerationJob</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Tracks generation status, progress, current section, errors, and completion state.</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AuditLog</w:t>
            </w:r>
          </w:p>
        </w:tc>
        <w:tc>
          <w:tcPr>
            <w:tcW w:type="dxa" w:w="72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Stores auditable actions including upload, chat, generation, export, and MCP calls.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LocalUsageLog</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Stores local usage metrics such as estimated tokens, model, operation type, and elapsed time.</w:t>
            </w:r>
          </w:p>
        </w:tc>
      </w:tr>
    </w:tbl>
    <w:p/>
    <w:p>
      <w:pPr>
        <w:pStyle w:val="Heading1"/>
      </w:pPr>
      <w:r>
        <w:t>11. Current Orchestration</w:t>
      </w:r>
    </w:p>
    <w:p>
      <w:r>
        <w:t>The current orchestration is service-based, not graph-based. Routes call backend services directly in sequence. This is acceptable for a local POC but not enough for production-grade long-running workflows.</w:t>
      </w:r>
    </w:p>
    <w:tbl>
      <w:tblPr>
        <w:tblStyle w:val="TableGrid"/>
        <w:tblW w:type="auto" w:w="0"/>
        <w:jc w:val="center"/>
        <w:tblLook w:firstColumn="1" w:firstRow="1" w:lastColumn="0" w:lastRow="0" w:noHBand="0" w:noVBand="1" w:val="04A0"/>
      </w:tblPr>
      <w:tblGrid>
        <w:gridCol w:w="5112"/>
        <w:gridCol w:w="5112"/>
      </w:tblGrid>
      <w:tr>
        <w:tc>
          <w:tcPr>
            <w:tcW w:type="dxa" w:w="2880"/>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Workflow</w:t>
            </w:r>
          </w:p>
        </w:tc>
        <w:tc>
          <w:tcPr>
            <w:tcW w:type="dxa" w:w="7200"/>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Current Orchestration</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Upload</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Upload route -&gt; parsing -&gt; classification -&gt; metadata extraction -&gt; chunking -&gt; database commit.</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Prepare for Chat</w:t>
            </w:r>
          </w:p>
        </w:tc>
        <w:tc>
          <w:tcPr>
            <w:tcW w:type="dxa" w:w="72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Embedding service -&gt; store vectors -&gt; update status.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Private Chat</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Intent detection -&gt; local answer or retrieval -&gt; local model -&gt; audit/usage logs.</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Generate Draft</w:t>
            </w:r>
          </w:p>
        </w:tc>
        <w:tc>
          <w:tcPr>
            <w:tcW w:type="dxa" w:w="72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Health check -&gt; lock -&gt; job -&gt; section retrieval -&gt; local generation -&gt; save section -&gt; progress update -&gt; quality.</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Export</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Validate draft -&gt; block invalid content -&gt; DOCX generation -&gt; audit log.</w:t>
            </w:r>
          </w:p>
        </w:tc>
      </w:tr>
    </w:tbl>
    <w:p/>
    <w:p>
      <w:pPr>
        <w:pStyle w:val="Heading1"/>
      </w:pPr>
      <w:r>
        <w:t>12. Token and Local Usage Model</w:t>
      </w:r>
    </w:p>
    <w:p>
      <w:r>
        <w:t>Because the system runs locally, there is no paid API token cost for Llama or local embeddings. However, estimated token tracking was added for observability.</w:t>
      </w:r>
    </w:p>
    <w:tbl>
      <w:tblPr>
        <w:tblW w:type="auto" w:w="0"/>
        <w:jc w:val="center"/>
        <w:tblLayout w:type="autofit"/>
        <w:tblLook w:firstColumn="1" w:firstRow="1" w:lastColumn="0" w:lastRow="0" w:noHBand="0" w:noVBand="1" w:val="04A0"/>
      </w:tblPr>
      <w:tblGrid>
        <w:gridCol w:w="10224"/>
      </w:tblGrid>
      <w:tr>
        <w:tc>
          <w:tcPr>
            <w:tcW w:type="dxa" w:w="10224"/>
            <w:shd w:fill="EEF2FF"/>
            <w:tcBorders>
              <w:top w:val="single" w:sz="8" w:space="0" w:color="4F46E5"/>
              <w:left w:val="single" w:sz="8" w:space="0" w:color="4F46E5"/>
              <w:bottom w:val="single" w:sz="8" w:space="0" w:color="4F46E5"/>
              <w:right w:val="single" w:sz="8" w:space="0" w:color="4F46E5"/>
            </w:tcBorders>
            <w:tcMar>
              <w:top w:w="160" w:type="dxa"/>
              <w:start w:w="180" w:type="dxa"/>
              <w:bottom w:w="160" w:type="dxa"/>
              <w:end w:w="180" w:type="dxa"/>
            </w:tcMar>
          </w:tcPr>
          <w:p>
            <w:pPr>
              <w:pStyle w:val="CalloutTitle"/>
            </w:pPr>
            <w:r>
              <w:rPr>
                <w:b/>
              </w:rPr>
              <w:t>Token Estimate</w:t>
            </w:r>
          </w:p>
          <w:p>
            <w:pPr>
              <w:pStyle w:val="CalloutBody"/>
            </w:pPr>
            <w:r>
              <w:t>estimated_tokens = word_count x 1.33. This is not billing. It is a local workload approximation used to understand processing effort.</w:t>
            </w:r>
          </w:p>
        </w:tc>
      </w:tr>
    </w:tbl>
    <w:p>
      <w:pPr>
        <w:pStyle w:val="ListBullet"/>
      </w:pPr>
      <w:r>
        <w:t>Prompt word count</w:t>
      </w:r>
    </w:p>
    <w:p>
      <w:pPr>
        <w:pStyle w:val="ListBullet"/>
      </w:pPr>
      <w:r>
        <w:t>Response word count</w:t>
      </w:r>
    </w:p>
    <w:p>
      <w:pPr>
        <w:pStyle w:val="ListBullet"/>
      </w:pPr>
      <w:r>
        <w:t>Estimated prompt and response tokens</w:t>
      </w:r>
    </w:p>
    <w:p>
      <w:pPr>
        <w:pStyle w:val="ListBullet"/>
      </w:pPr>
      <w:r>
        <w:t>Total estimated tokens</w:t>
      </w:r>
    </w:p>
    <w:p>
      <w:pPr>
        <w:pStyle w:val="ListBullet"/>
      </w:pPr>
      <w:r>
        <w:t>Model used</w:t>
      </w:r>
    </w:p>
    <w:p>
      <w:pPr>
        <w:pStyle w:val="ListBullet"/>
      </w:pPr>
      <w:r>
        <w:t>Elapsed time</w:t>
      </w:r>
    </w:p>
    <w:p>
      <w:pPr>
        <w:pStyle w:val="ListBullet"/>
      </w:pPr>
      <w:r>
        <w:t>Retrieved sections used</w:t>
      </w:r>
    </w:p>
    <w:p>
      <w:pPr>
        <w:pStyle w:val="ListBullet"/>
      </w:pPr>
      <w:r>
        <w:t>external_api_used = false</w:t>
      </w:r>
    </w:p>
    <w:p>
      <w:pPr>
        <w:pStyle w:val="Heading1"/>
      </w:pPr>
      <w:r>
        <w:t>13. CPU and Performance Observations</w:t>
      </w:r>
    </w:p>
    <w:p>
      <w:r>
        <w:t>The POC ran on laptop-class hardware with CPU-based inference. This was useful for proving feasibility but exposed clear scaling limitations.</w:t>
      </w:r>
    </w:p>
    <w:tbl>
      <w:tblPr>
        <w:tblStyle w:val="TableGrid"/>
        <w:tblW w:type="auto" w:w="0"/>
        <w:jc w:val="center"/>
        <w:tblLook w:firstColumn="1" w:firstRow="1" w:lastColumn="0" w:lastRow="0" w:noHBand="0" w:noVBand="1" w:val="04A0"/>
      </w:tblPr>
      <w:tblGrid>
        <w:gridCol w:w="5112"/>
        <w:gridCol w:w="5112"/>
      </w:tblGrid>
      <w:tr>
        <w:tc>
          <w:tcPr>
            <w:tcW w:type="dxa" w:w="3024"/>
            <w:shd w:fill="374151"/>
            <w:tcBorders>
              <w:top w:val="single" w:sz="4" w:space="0" w:color="374151"/>
              <w:left w:val="single" w:sz="4" w:space="0" w:color="374151"/>
              <w:bottom w:val="single" w:sz="4" w:space="0" w:color="374151"/>
              <w:right w:val="single" w:sz="4" w:space="0" w:color="374151"/>
            </w:tcBorders>
            <w:tcMar>
              <w:top w:w="100" w:type="dxa"/>
              <w:start w:w="120" w:type="dxa"/>
              <w:bottom w:w="100" w:type="dxa"/>
              <w:end w:w="120" w:type="dxa"/>
            </w:tcMar>
          </w:tcPr>
          <w:p>
            <w:pPr>
              <w:jc w:val="left"/>
            </w:pPr>
            <w:r>
              <w:rPr>
                <w:b/>
                <w:color w:val="FFFFFF"/>
                <w:sz w:val="17"/>
              </w:rPr>
              <w:t>Operation</w:t>
            </w:r>
          </w:p>
        </w:tc>
        <w:tc>
          <w:tcPr>
            <w:tcW w:type="dxa" w:w="7056"/>
            <w:shd w:fill="374151"/>
            <w:tcBorders>
              <w:top w:val="single" w:sz="4" w:space="0" w:color="374151"/>
              <w:left w:val="single" w:sz="4" w:space="0" w:color="374151"/>
              <w:bottom w:val="single" w:sz="4" w:space="0" w:color="374151"/>
              <w:right w:val="single" w:sz="4" w:space="0" w:color="374151"/>
            </w:tcBorders>
            <w:tcMar>
              <w:top w:w="100" w:type="dxa"/>
              <w:start w:w="120" w:type="dxa"/>
              <w:bottom w:w="100" w:type="dxa"/>
              <w:end w:w="120" w:type="dxa"/>
            </w:tcMar>
          </w:tcPr>
          <w:p>
            <w:pPr>
              <w:jc w:val="left"/>
            </w:pPr>
            <w:r>
              <w:rPr>
                <w:b/>
                <w:color w:val="FFFFFF"/>
                <w:sz w:val="17"/>
              </w:rPr>
              <w:t>Observed / Expected Local Behavior</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Upload and parsing</w:t>
            </w:r>
          </w:p>
        </w:tc>
        <w:tc>
          <w:tcPr>
            <w:tcW w:type="dxa" w:w="705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Usually fast for searchable PDFs, DOCX, and TXT.</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Classification</w:t>
            </w:r>
          </w:p>
        </w:tc>
        <w:tc>
          <w:tcPr>
            <w:tcW w:type="dxa" w:w="705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Fast because it is deterministic.</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Embeddings</w:t>
            </w:r>
          </w:p>
        </w:tc>
        <w:tc>
          <w:tcPr>
            <w:tcW w:type="dxa" w:w="705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Acceptable for MVP scale, but grows with document size.</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Private chat</w:t>
            </w:r>
          </w:p>
        </w:tc>
        <w:tc>
          <w:tcPr>
            <w:tcW w:type="dxa" w:w="705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Variable; fast for local intents, slower when local model is used.</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Short draft generation</w:t>
            </w:r>
          </w:p>
        </w:tc>
        <w:tc>
          <w:tcPr>
            <w:tcW w:type="dxa" w:w="705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Can take 15-30 minutes or more for larger RFPs on CPU.</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Full proposal generation</w:t>
            </w:r>
          </w:p>
        </w:tc>
        <w:tc>
          <w:tcPr>
            <w:tcW w:type="dxa" w:w="705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Not recommended on the current laptop-class setup.</w:t>
            </w:r>
          </w:p>
        </w:tc>
      </w:tr>
    </w:tbl>
    <w:p/>
    <w:p>
      <w:pPr>
        <w:pStyle w:val="Heading1"/>
      </w:pPr>
      <w:r>
        <w:t>14. What Worked Well</w:t>
      </w:r>
    </w:p>
    <w:p>
      <w:pPr>
        <w:pStyle w:val="ListBullet"/>
      </w:pPr>
      <w:r>
        <w:t>Local-first RFP upload works.</w:t>
      </w:r>
    </w:p>
    <w:p>
      <w:pPr>
        <w:pStyle w:val="ListBullet"/>
      </w:pPr>
      <w:r>
        <w:t>Local parsing and classification work for searchable documents.</w:t>
      </w:r>
    </w:p>
    <w:p>
      <w:pPr>
        <w:pStyle w:val="ListBullet"/>
      </w:pPr>
      <w:r>
        <w:t>Local embeddings and retrieval are feasible.</w:t>
      </w:r>
    </w:p>
    <w:p>
      <w:pPr>
        <w:pStyle w:val="ListBullet"/>
      </w:pPr>
      <w:r>
        <w:t>Private chat can answer grounded RFP questions with source excerpts.</w:t>
      </w:r>
    </w:p>
    <w:p>
      <w:pPr>
        <w:pStyle w:val="ListBullet"/>
      </w:pPr>
      <w:r>
        <w:t>Short local draft generation is technically possible.</w:t>
      </w:r>
    </w:p>
    <w:p>
      <w:pPr>
        <w:pStyle w:val="ListBullet"/>
      </w:pPr>
      <w:r>
        <w:t>DOCX export works with validation safeguards.</w:t>
      </w:r>
    </w:p>
    <w:p>
      <w:pPr>
        <w:pStyle w:val="ListBullet"/>
      </w:pPr>
      <w:r>
        <w:t>Audit logging and usage metrics improve trust and observability.</w:t>
      </w:r>
    </w:p>
    <w:p>
      <w:pPr>
        <w:pStyle w:val="ListBullet"/>
      </w:pPr>
      <w:r>
        <w:t>MCP-style local tool exposure is feasible once core services are stable.</w:t>
      </w:r>
    </w:p>
    <w:p>
      <w:pPr>
        <w:pStyle w:val="ListBullet"/>
      </w:pPr>
      <w:r>
        <w:t>The UI can be made stakeholder-friendly with guided workflows and plain labels.</w:t>
      </w:r>
    </w:p>
    <w:p>
      <w:pPr>
        <w:pStyle w:val="ListBullet"/>
      </w:pPr>
      <w:r>
        <w:t>Sensitive RFP data can remain local in a POC environment.</w:t>
      </w:r>
    </w:p>
    <w:p>
      <w:pPr>
        <w:pStyle w:val="Heading1"/>
      </w:pPr>
      <w:r>
        <w:t>15. What Failed or Was Not Scalable</w:t>
      </w:r>
    </w:p>
    <w:tbl>
      <w:tblPr>
        <w:tblStyle w:val="TableGrid"/>
        <w:tblW w:type="auto" w:w="0"/>
        <w:jc w:val="center"/>
        <w:tblLook w:firstColumn="1" w:firstRow="1" w:lastColumn="0" w:lastRow="0" w:noHBand="0" w:noVBand="1" w:val="04A0"/>
      </w:tblPr>
      <w:tblGrid>
        <w:gridCol w:w="5112"/>
        <w:gridCol w:w="5112"/>
      </w:tblGrid>
      <w:tr>
        <w:tc>
          <w:tcPr>
            <w:tcW w:type="dxa" w:w="2880"/>
            <w:shd w:fill="7F1D1D"/>
            <w:tcBorders>
              <w:top w:val="single" w:sz="4" w:space="0" w:color="7F1D1D"/>
              <w:left w:val="single" w:sz="4" w:space="0" w:color="7F1D1D"/>
              <w:bottom w:val="single" w:sz="4" w:space="0" w:color="7F1D1D"/>
              <w:right w:val="single" w:sz="4" w:space="0" w:color="7F1D1D"/>
            </w:tcBorders>
            <w:tcMar>
              <w:top w:w="100" w:type="dxa"/>
              <w:start w:w="120" w:type="dxa"/>
              <w:bottom w:w="100" w:type="dxa"/>
              <w:end w:w="120" w:type="dxa"/>
            </w:tcMar>
          </w:tcPr>
          <w:p>
            <w:pPr>
              <w:jc w:val="left"/>
            </w:pPr>
            <w:r>
              <w:rPr>
                <w:b/>
                <w:color w:val="FFFFFF"/>
                <w:sz w:val="17"/>
              </w:rPr>
              <w:t>Limitation</w:t>
            </w:r>
          </w:p>
        </w:tc>
        <w:tc>
          <w:tcPr>
            <w:tcW w:type="dxa" w:w="7200"/>
            <w:shd w:fill="7F1D1D"/>
            <w:tcBorders>
              <w:top w:val="single" w:sz="4" w:space="0" w:color="7F1D1D"/>
              <w:left w:val="single" w:sz="4" w:space="0" w:color="7F1D1D"/>
              <w:bottom w:val="single" w:sz="4" w:space="0" w:color="7F1D1D"/>
              <w:right w:val="single" w:sz="4" w:space="0" w:color="7F1D1D"/>
            </w:tcBorders>
            <w:tcMar>
              <w:top w:w="100" w:type="dxa"/>
              <w:start w:w="120" w:type="dxa"/>
              <w:bottom w:w="100" w:type="dxa"/>
              <w:end w:w="120" w:type="dxa"/>
            </w:tcMar>
          </w:tcPr>
          <w:p>
            <w:pPr>
              <w:jc w:val="left"/>
            </w:pPr>
            <w:r>
              <w:rPr>
                <w:b/>
                <w:color w:val="FFFFFF"/>
                <w:sz w:val="17"/>
              </w:rPr>
              <w:t>Impact</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Model speed</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CPU generation is too slow for production-grade proposal workflows.</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Model quality</w:t>
            </w:r>
          </w:p>
        </w:tc>
        <w:tc>
          <w:tcPr>
            <w:tcW w:type="dxa" w:w="72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 3B model cannot consistently produce enterprise-grade proposal content.</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Runtime stability</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Health can pass while actual model calls fail, timeout, or become busy.</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Metadata extraction</w:t>
            </w:r>
          </w:p>
        </w:tc>
        <w:tc>
          <w:tcPr>
            <w:tcW w:type="dxa" w:w="72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Heuristics improved but are still not semantic and can miss edge cases.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Draft failure handling</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Earlier versions saved infrastructure errors as content; this was fixed but exposed risk.</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Concurrency</w:t>
            </w:r>
          </w:p>
        </w:tc>
        <w:tc>
          <w:tcPr>
            <w:tcW w:type="dxa" w:w="72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model cannot comfortably handle multiple heavy operations.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Orchestration</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No Celery/Redis/distributed job queue exists.</w:t>
            </w:r>
          </w:p>
        </w:tc>
      </w:tr>
      <w:tr>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Authentication</w:t>
            </w:r>
          </w:p>
        </w:tc>
        <w:tc>
          <w:tcPr>
            <w:tcW w:type="dxa" w:w="72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No production-grade users, roles, or tenant isolation.</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Database</w:t>
            </w:r>
          </w:p>
        </w:tc>
        <w:tc>
          <w:tcPr>
            <w:tcW w:type="dxa" w:w="72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SQLite is not suitable for production multi-user workloads.</w:t>
            </w:r>
          </w:p>
        </w:tc>
      </w:tr>
    </w:tbl>
    <w:p/>
    <w:p>
      <w:pPr>
        <w:pStyle w:val="Heading1"/>
      </w:pPr>
      <w:r>
        <w:t>16. Why the Current Architecture Should Not Be Scaled Directly to Production</w:t>
      </w:r>
    </w:p>
    <w:p>
      <w:pPr>
        <w:pStyle w:val="ListNumber"/>
      </w:pPr>
      <w:r>
        <w:t>It depends on CPU-based local inference.</w:t>
      </w:r>
    </w:p>
    <w:p>
      <w:pPr>
        <w:pStyle w:val="ListNumber"/>
      </w:pPr>
      <w:r>
        <w:t>It uses a small 3B model.</w:t>
      </w:r>
    </w:p>
    <w:p>
      <w:pPr>
        <w:pStyle w:val="ListNumber"/>
      </w:pPr>
      <w:r>
        <w:t>It cannot generate long proposals quickly.</w:t>
      </w:r>
    </w:p>
    <w:p>
      <w:pPr>
        <w:pStyle w:val="ListNumber"/>
      </w:pPr>
      <w:r>
        <w:t>It cannot support concurrent enterprise usage.</w:t>
      </w:r>
    </w:p>
    <w:p>
      <w:pPr>
        <w:pStyle w:val="ListNumber"/>
      </w:pPr>
      <w:r>
        <w:t>It lacks production-grade orchestration.</w:t>
      </w:r>
    </w:p>
    <w:p>
      <w:pPr>
        <w:pStyle w:val="ListNumber"/>
      </w:pPr>
      <w:r>
        <w:t>It lacks production authentication and permissions.</w:t>
      </w:r>
    </w:p>
    <w:p>
      <w:pPr>
        <w:pStyle w:val="ListNumber"/>
      </w:pPr>
      <w:r>
        <w:t>It lacks enterprise deployment architecture.</w:t>
      </w:r>
    </w:p>
    <w:p>
      <w:pPr>
        <w:pStyle w:val="ListNumber"/>
      </w:pPr>
      <w:r>
        <w:t>It uses SQLite instead of production database infrastructure.</w:t>
      </w:r>
    </w:p>
    <w:p>
      <w:pPr>
        <w:pStyle w:val="ListNumber"/>
      </w:pPr>
      <w:r>
        <w:t>It lacks centralized monitoring and observability.</w:t>
      </w:r>
    </w:p>
    <w:p>
      <w:pPr>
        <w:pStyle w:val="ListNumber"/>
      </w:pPr>
      <w:r>
        <w:t>It cannot guarantee strong proposal quality across complex RFPs.</w:t>
      </w:r>
    </w:p>
    <w:p>
      <w:pPr>
        <w:pStyle w:val="Heading1"/>
      </w:pPr>
      <w:r>
        <w:t>17. Why the Current System Still Has Value</w:t>
      </w:r>
    </w:p>
    <w:p>
      <w:r>
        <w:t>Even though Phase 2 should not be productionized as-is, it has significant value. It proved the privacy-first RFP workflow and showed exactly which components should be preserved in the next architecture.</w:t>
      </w:r>
    </w:p>
    <w:p>
      <w:pPr>
        <w:pStyle w:val="ListBullet"/>
      </w:pPr>
      <w:r>
        <w:t>Privacy-first RFP workflows are possible.</w:t>
      </w:r>
    </w:p>
    <w:p>
      <w:pPr>
        <w:pStyle w:val="ListBullet"/>
      </w:pPr>
      <w:r>
        <w:t>Local retrieval and local embeddings are useful.</w:t>
      </w:r>
    </w:p>
    <w:p>
      <w:pPr>
        <w:pStyle w:val="ListBullet"/>
      </w:pPr>
      <w:r>
        <w:t>Audit logging is essential for AI-assisted proposal workflows.</w:t>
      </w:r>
    </w:p>
    <w:p>
      <w:pPr>
        <w:pStyle w:val="ListBullet"/>
      </w:pPr>
      <w:r>
        <w:t>Draft validation must block infrastructure errors.</w:t>
      </w:r>
    </w:p>
    <w:p>
      <w:pPr>
        <w:pStyle w:val="ListBullet"/>
      </w:pPr>
      <w:r>
        <w:t>Users need workflow guidance, not raw technical controls.</w:t>
      </w:r>
    </w:p>
    <w:p>
      <w:pPr>
        <w:pStyle w:val="ListBullet"/>
      </w:pPr>
      <w:r>
        <w:t>Source-grounded answers improve trust.</w:t>
      </w:r>
    </w:p>
    <w:p>
      <w:pPr>
        <w:pStyle w:val="ListBullet"/>
      </w:pPr>
      <w:r>
        <w:t>Local-only architecture can be a strong product differentiator when paired with better infrastructure.</w:t>
      </w:r>
    </w:p>
    <w:p>
      <w:pPr>
        <w:pStyle w:val="Heading1"/>
      </w:pPr>
      <w:r>
        <w:t>18. Comparison: Phase 1 vs Phase 2</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Area</w:t>
            </w:r>
          </w:p>
        </w:tc>
        <w:tc>
          <w:tcPr>
            <w:tcW w:type="dxa" w:w="4032"/>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Phase 1 Cloud/Hybrid</w:t>
            </w:r>
          </w:p>
        </w:tc>
        <w:tc>
          <w:tcPr>
            <w:tcW w:type="dxa" w:w="4032"/>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Phase 2 Local-First</w:t>
            </w:r>
          </w:p>
        </w:tc>
      </w:tr>
      <w:tr>
        <w:tc>
          <w:tcPr>
            <w:tcW w:type="dxa" w:w="201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AI provider</w:t>
            </w:r>
          </w:p>
        </w:tc>
        <w:tc>
          <w:tcPr>
            <w:tcW w:type="dxa" w:w="403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Gemini / Azure / cloud models</w:t>
            </w:r>
          </w:p>
        </w:tc>
        <w:tc>
          <w:tcPr>
            <w:tcW w:type="dxa" w:w="403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Ollama local models</w:t>
            </w:r>
          </w:p>
        </w:tc>
      </w:tr>
      <w:tr>
        <w:tc>
          <w:tcPr>
            <w:tcW w:type="dxa" w:w="201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Privacy</w:t>
            </w:r>
          </w:p>
        </w:tc>
        <w:tc>
          <w:tcPr>
            <w:tcW w:type="dxa" w:w="403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Data may leave local environment</w:t>
            </w:r>
          </w:p>
        </w:tc>
        <w:tc>
          <w:tcPr>
            <w:tcW w:type="dxa" w:w="403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Data stays local</w:t>
            </w:r>
          </w:p>
        </w:tc>
      </w:tr>
      <w:tr>
        <w:tc>
          <w:tcPr>
            <w:tcW w:type="dxa" w:w="201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Speed</w:t>
            </w:r>
          </w:p>
        </w:tc>
        <w:tc>
          <w:tcPr>
            <w:tcW w:type="dxa" w:w="403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Faster</w:t>
            </w:r>
          </w:p>
        </w:tc>
        <w:tc>
          <w:tcPr>
            <w:tcW w:type="dxa" w:w="403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Slower</w:t>
            </w:r>
          </w:p>
        </w:tc>
      </w:tr>
      <w:tr>
        <w:tc>
          <w:tcPr>
            <w:tcW w:type="dxa" w:w="201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Quality</w:t>
            </w:r>
          </w:p>
        </w:tc>
        <w:tc>
          <w:tcPr>
            <w:tcW w:type="dxa" w:w="403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Better generation quality</w:t>
            </w:r>
          </w:p>
        </w:tc>
        <w:tc>
          <w:tcPr>
            <w:tcW w:type="dxa" w:w="403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Limited by 3B model</w:t>
            </w:r>
          </w:p>
        </w:tc>
      </w:tr>
      <w:tr>
        <w:tc>
          <w:tcPr>
            <w:tcW w:type="dxa" w:w="201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Cost</w:t>
            </w:r>
          </w:p>
        </w:tc>
        <w:tc>
          <w:tcPr>
            <w:tcW w:type="dxa" w:w="403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API token cost</w:t>
            </w:r>
          </w:p>
        </w:tc>
        <w:tc>
          <w:tcPr>
            <w:tcW w:type="dxa" w:w="403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No paid local tokens</w:t>
            </w:r>
          </w:p>
        </w:tc>
      </w:tr>
      <w:tr>
        <w:tc>
          <w:tcPr>
            <w:tcW w:type="dxa" w:w="201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Scalability</w:t>
            </w:r>
          </w:p>
        </w:tc>
        <w:tc>
          <w:tcPr>
            <w:tcW w:type="dxa" w:w="403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Better with cloud infra</w:t>
            </w:r>
          </w:p>
        </w:tc>
        <w:tc>
          <w:tcPr>
            <w:tcW w:type="dxa" w:w="403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Limited by local machine</w:t>
            </w:r>
          </w:p>
        </w:tc>
      </w:tr>
      <w:tr>
        <w:tc>
          <w:tcPr>
            <w:tcW w:type="dxa" w:w="2016"/>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Audit</w:t>
            </w:r>
          </w:p>
        </w:tc>
        <w:tc>
          <w:tcPr>
            <w:tcW w:type="dxa" w:w="403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Added over time</w:t>
            </w:r>
          </w:p>
        </w:tc>
        <w:tc>
          <w:tcPr>
            <w:tcW w:type="dxa" w:w="403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Strong local audit focus</w:t>
            </w:r>
          </w:p>
        </w:tc>
      </w:tr>
      <w:tr>
        <w:tc>
          <w:tcPr>
            <w:tcW w:type="dxa" w:w="2016"/>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Best use</w:t>
            </w:r>
          </w:p>
        </w:tc>
        <w:tc>
          <w:tcPr>
            <w:tcW w:type="dxa" w:w="403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Cloud SaaS or hybrid product</w:t>
            </w:r>
          </w:p>
        </w:tc>
        <w:tc>
          <w:tcPr>
            <w:tcW w:type="dxa" w:w="403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Privacy-first POC / offline mode</w:t>
            </w:r>
          </w:p>
        </w:tc>
      </w:tr>
    </w:tbl>
    <w:p/>
    <w:p>
      <w:pPr>
        <w:pStyle w:val="Heading1"/>
      </w:pPr>
      <w:r>
        <w:t>19. Lessons Learned</w:t>
      </w:r>
    </w:p>
    <w:tbl>
      <w:tblPr>
        <w:tblStyle w:val="TableGrid"/>
        <w:tblW w:type="auto" w:w="0"/>
        <w:jc w:val="center"/>
        <w:tblLook w:firstColumn="1" w:firstRow="1" w:lastColumn="0" w:lastRow="0" w:noHBand="0" w:noVBand="1" w:val="04A0"/>
      </w:tblPr>
      <w:tblGrid>
        <w:gridCol w:w="5112"/>
        <w:gridCol w:w="5112"/>
      </w:tblGrid>
      <w:tr>
        <w:tc>
          <w:tcPr>
            <w:tcW w:type="dxa" w:w="3600"/>
            <w:shd w:fill="064E3B"/>
            <w:tcBorders>
              <w:top w:val="single" w:sz="4" w:space="0" w:color="064E3B"/>
              <w:left w:val="single" w:sz="4" w:space="0" w:color="064E3B"/>
              <w:bottom w:val="single" w:sz="4" w:space="0" w:color="064E3B"/>
              <w:right w:val="single" w:sz="4" w:space="0" w:color="064E3B"/>
            </w:tcBorders>
            <w:tcMar>
              <w:top w:w="100" w:type="dxa"/>
              <w:start w:w="120" w:type="dxa"/>
              <w:bottom w:w="100" w:type="dxa"/>
              <w:end w:w="120" w:type="dxa"/>
            </w:tcMar>
          </w:tcPr>
          <w:p>
            <w:pPr>
              <w:jc w:val="left"/>
            </w:pPr>
            <w:r>
              <w:rPr>
                <w:b/>
                <w:color w:val="FFFFFF"/>
                <w:sz w:val="17"/>
              </w:rPr>
              <w:t>Lesson</w:t>
            </w:r>
          </w:p>
        </w:tc>
        <w:tc>
          <w:tcPr>
            <w:tcW w:type="dxa" w:w="6480"/>
            <w:shd w:fill="064E3B"/>
            <w:tcBorders>
              <w:top w:val="single" w:sz="4" w:space="0" w:color="064E3B"/>
              <w:left w:val="single" w:sz="4" w:space="0" w:color="064E3B"/>
              <w:bottom w:val="single" w:sz="4" w:space="0" w:color="064E3B"/>
              <w:right w:val="single" w:sz="4" w:space="0" w:color="064E3B"/>
            </w:tcBorders>
            <w:tcMar>
              <w:top w:w="100" w:type="dxa"/>
              <w:start w:w="120" w:type="dxa"/>
              <w:bottom w:w="100" w:type="dxa"/>
              <w:end w:w="120" w:type="dxa"/>
            </w:tcMar>
          </w:tcPr>
          <w:p>
            <w:pPr>
              <w:jc w:val="left"/>
            </w:pPr>
            <w:r>
              <w:rPr>
                <w:b/>
                <w:color w:val="FFFFFF"/>
                <w:sz w:val="17"/>
              </w:rPr>
              <w:t>What It Means</w:t>
            </w:r>
          </w:p>
        </w:tc>
      </w:tr>
      <w:tr>
        <w:tc>
          <w:tcPr>
            <w:tcW w:type="dxa" w:w="36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Privacy and capability are a tradeoff</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execution improves privacy but reduces model capability and speed.</w:t>
            </w:r>
          </w:p>
        </w:tc>
      </w:tr>
      <w:tr>
        <w:tc>
          <w:tcPr>
            <w:tcW w:type="dxa" w:w="36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Small models are not enough</w:t>
            </w:r>
          </w:p>
        </w:tc>
        <w:tc>
          <w:tcPr>
            <w:tcW w:type="dxa" w:w="64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Small local models are useful for chat and summaries, but not for complex enterprise proposal generation.</w:t>
            </w:r>
          </w:p>
        </w:tc>
      </w:tr>
      <w:tr>
        <w:tc>
          <w:tcPr>
            <w:tcW w:type="dxa" w:w="36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Workflow guidance matters</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Non-technical stakeholders need a clear step-by-step UI.</w:t>
            </w:r>
          </w:p>
        </w:tc>
      </w:tr>
      <w:tr>
        <w:tc>
          <w:tcPr>
            <w:tcW w:type="dxa" w:w="36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Audit logs are essential</w:t>
            </w:r>
          </w:p>
        </w:tc>
        <w:tc>
          <w:tcPr>
            <w:tcW w:type="dxa" w:w="64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Every high-risk AI action should be auditable.</w:t>
            </w:r>
          </w:p>
        </w:tc>
      </w:tr>
      <w:tr>
        <w:tc>
          <w:tcPr>
            <w:tcW w:type="dxa" w:w="36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Failed AI output must be blocked</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Infrastructure errors should never become proposal content.</w:t>
            </w:r>
          </w:p>
        </w:tc>
      </w:tr>
      <w:tr>
        <w:tc>
          <w:tcPr>
            <w:tcW w:type="dxa" w:w="36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Metadata extraction needs care</w:t>
            </w:r>
          </w:p>
        </w:tc>
        <w:tc>
          <w:tcPr>
            <w:tcW w:type="dxa" w:w="64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RFPs contain TOCs, forms, and date tables that can confuse basic extractors.</w:t>
            </w:r>
          </w:p>
        </w:tc>
      </w:tr>
      <w:tr>
        <w:tc>
          <w:tcPr>
            <w:tcW w:type="dxa" w:w="360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Progress visibility matters</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Long-running generation needs progress, ETA, and friendly waiting states.</w:t>
            </w:r>
          </w:p>
        </w:tc>
      </w:tr>
      <w:tr>
        <w:tc>
          <w:tcPr>
            <w:tcW w:type="dxa" w:w="360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MCP should wrap stable tools</w:t>
            </w:r>
          </w:p>
        </w:tc>
        <w:tc>
          <w:tcPr>
            <w:tcW w:type="dxa" w:w="64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MCP is useful after core services are stable, not before.</w:t>
            </w:r>
          </w:p>
        </w:tc>
      </w:tr>
    </w:tbl>
    <w:p/>
    <w:p>
      <w:pPr>
        <w:pStyle w:val="Heading1"/>
      </w:pPr>
      <w:r>
        <w:t>20. Future Scope</w:t>
      </w:r>
    </w:p>
    <w:p>
      <w:pPr>
        <w:pStyle w:val="Heading2"/>
      </w:pPr>
      <w:r>
        <w:t>20.1 Better Model Strategy</w:t>
      </w:r>
    </w:p>
    <w:p>
      <w:pPr>
        <w:pStyle w:val="ListBullet"/>
      </w:pPr>
      <w:r>
        <w:t>Use a stronger local model if hardware allows.</w:t>
      </w:r>
    </w:p>
    <w:p>
      <w:pPr>
        <w:pStyle w:val="ListBullet"/>
      </w:pPr>
      <w:r>
        <w:t>Use a private GPU server for secure enterprise deployments.</w:t>
      </w:r>
    </w:p>
    <w:p>
      <w:pPr>
        <w:pStyle w:val="ListBullet"/>
      </w:pPr>
      <w:r>
        <w:t>Use enterprise-hosted open-source models for better speed and quality.</w:t>
      </w:r>
    </w:p>
    <w:p>
      <w:pPr>
        <w:pStyle w:val="ListBullet"/>
      </w:pPr>
      <w:r>
        <w:t>Use hybrid mode where sensitive processing stays local and approved non-sensitive drafting can use managed models.</w:t>
      </w:r>
    </w:p>
    <w:p>
      <w:pPr>
        <w:pStyle w:val="ListBullet"/>
      </w:pPr>
      <w:r>
        <w:t>Use model routing based on task complexity.</w:t>
      </w:r>
    </w:p>
    <w:p>
      <w:pPr>
        <w:pStyle w:val="Heading2"/>
      </w:pPr>
      <w:r>
        <w:t>20.2 Production Orchestration</w:t>
      </w:r>
    </w:p>
    <w:p>
      <w:pPr>
        <w:pStyle w:val="ListBullet"/>
      </w:pPr>
      <w:r>
        <w:t>background workers</w:t>
      </w:r>
    </w:p>
    <w:p>
      <w:pPr>
        <w:pStyle w:val="ListBullet"/>
      </w:pPr>
      <w:r>
        <w:t>job queues</w:t>
      </w:r>
    </w:p>
    <w:p>
      <w:pPr>
        <w:pStyle w:val="ListBullet"/>
      </w:pPr>
      <w:r>
        <w:t>retries</w:t>
      </w:r>
    </w:p>
    <w:p>
      <w:pPr>
        <w:pStyle w:val="ListBullet"/>
      </w:pPr>
      <w:r>
        <w:t>cancellation</w:t>
      </w:r>
    </w:p>
    <w:p>
      <w:pPr>
        <w:pStyle w:val="ListBullet"/>
      </w:pPr>
      <w:r>
        <w:t>resume support</w:t>
      </w:r>
    </w:p>
    <w:p>
      <w:pPr>
        <w:pStyle w:val="ListBullet"/>
      </w:pPr>
      <w:r>
        <w:t>distributed locks</w:t>
      </w:r>
    </w:p>
    <w:p>
      <w:pPr>
        <w:pStyle w:val="ListBullet"/>
      </w:pPr>
      <w:r>
        <w:t>failure recovery</w:t>
      </w:r>
    </w:p>
    <w:p>
      <w:pPr>
        <w:pStyle w:val="ListBullet"/>
      </w:pPr>
      <w:r>
        <w:t>status persistence</w:t>
      </w:r>
    </w:p>
    <w:p>
      <w:pPr>
        <w:pStyle w:val="Heading2"/>
      </w:pPr>
      <w:r>
        <w:t>20.3 LangGraph-Style Workflow</w:t>
      </w:r>
    </w:p>
    <w:p>
      <w:r>
        <w:t>Future orchestration can be represented as a graph: ingestion -&gt; extraction -&gt; validation -&gt; retrieval -&gt; draft planning -&gt; section generation -&gt; evaluator -&gt; post-processing -&gt; export -&gt; audit.</w:t>
      </w:r>
    </w:p>
    <w:p>
      <w:pPr>
        <w:pStyle w:val="Heading2"/>
      </w:pPr>
      <w:r>
        <w:t>20.4 Evaluator-Optimizer Loop</w:t>
      </w:r>
    </w:p>
    <w:p>
      <w:pPr>
        <w:pStyle w:val="ListNumber"/>
      </w:pPr>
      <w:r>
        <w:t>Generate section</w:t>
      </w:r>
    </w:p>
    <w:p>
      <w:pPr>
        <w:pStyle w:val="ListNumber"/>
      </w:pPr>
      <w:r>
        <w:t>Evaluate against checklist</w:t>
      </w:r>
    </w:p>
    <w:p>
      <w:pPr>
        <w:pStyle w:val="ListNumber"/>
      </w:pPr>
      <w:r>
        <w:t>Detect missing requirements</w:t>
      </w:r>
    </w:p>
    <w:p>
      <w:pPr>
        <w:pStyle w:val="ListNumber"/>
      </w:pPr>
      <w:r>
        <w:t>Detect unsupported claims</w:t>
      </w:r>
    </w:p>
    <w:p>
      <w:pPr>
        <w:pStyle w:val="ListNumber"/>
      </w:pPr>
      <w:r>
        <w:t>Rewrite section</w:t>
      </w:r>
    </w:p>
    <w:p>
      <w:pPr>
        <w:pStyle w:val="ListNumber"/>
      </w:pPr>
      <w:r>
        <w:t>Approve or flag for human review</w:t>
      </w:r>
    </w:p>
    <w:p>
      <w:pPr>
        <w:pStyle w:val="Heading2"/>
      </w:pPr>
      <w:r>
        <w:t>20.5 Company Evidence Repository</w:t>
      </w:r>
    </w:p>
    <w:p>
      <w:pPr>
        <w:pStyle w:val="ListBullet"/>
      </w:pPr>
      <w:r>
        <w:t>Company profile</w:t>
      </w:r>
    </w:p>
    <w:p>
      <w:pPr>
        <w:pStyle w:val="ListBullet"/>
      </w:pPr>
      <w:r>
        <w:t>certifications</w:t>
      </w:r>
    </w:p>
    <w:p>
      <w:pPr>
        <w:pStyle w:val="ListBullet"/>
      </w:pPr>
      <w:r>
        <w:t>case studies</w:t>
      </w:r>
    </w:p>
    <w:p>
      <w:pPr>
        <w:pStyle w:val="ListBullet"/>
      </w:pPr>
      <w:r>
        <w:t>standard architecture</w:t>
      </w:r>
    </w:p>
    <w:p>
      <w:pPr>
        <w:pStyle w:val="ListBullet"/>
      </w:pPr>
      <w:r>
        <w:t>security statements</w:t>
      </w:r>
    </w:p>
    <w:p>
      <w:pPr>
        <w:pStyle w:val="ListBullet"/>
      </w:pPr>
      <w:r>
        <w:t>compliance statements</w:t>
      </w:r>
    </w:p>
    <w:p>
      <w:pPr>
        <w:pStyle w:val="ListBullet"/>
      </w:pPr>
      <w:r>
        <w:t>staffing profiles</w:t>
      </w:r>
    </w:p>
    <w:p>
      <w:pPr>
        <w:pStyle w:val="ListBullet"/>
      </w:pPr>
      <w:r>
        <w:t>approved boilerplate content</w:t>
      </w:r>
    </w:p>
    <w:p>
      <w:pPr>
        <w:pStyle w:val="Heading2"/>
      </w:pPr>
      <w:r>
        <w:t>20.6 OCR and Document Quality</w:t>
      </w:r>
    </w:p>
    <w:p>
      <w:r>
        <w:t>Scanned PDFs need OCR support with confidence scoring and page-level extraction quality indicators.</w:t>
      </w:r>
    </w:p>
    <w:p>
      <w:pPr>
        <w:pStyle w:val="Heading2"/>
      </w:pPr>
      <w:r>
        <w:t>20.7 PostgreSQL Migration</w:t>
      </w:r>
    </w:p>
    <w:p>
      <w:r>
        <w:t>Production should use PostgreSQL with migrations, JSONB metadata, role-based access, audit retention, and possibly pgvector for vector search.</w:t>
      </w:r>
    </w:p>
    <w:p>
      <w:pPr>
        <w:pStyle w:val="Heading1"/>
      </w:pPr>
      <w:r>
        <w:t>21. Recommended Next Architecture</w:t>
      </w:r>
    </w:p>
    <w:p>
      <w:r>
        <w:t>The next version should combine the best of Phase 1 and Phase 2: the privacy controls, auditability, and local retrieval from Phase 2, with stronger orchestration, better model routing, and scalable infrastructure from a production design.</w:t>
      </w:r>
    </w:p>
    <w:tbl>
      <w:tblPr>
        <w:tblW w:type="auto" w:w="0"/>
        <w:jc w:val="center"/>
        <w:tblLayout w:type="autofit"/>
        <w:tblLook w:firstColumn="1" w:firstRow="1" w:lastColumn="0" w:lastRow="0" w:noHBand="0" w:noVBand="1" w:val="04A0"/>
      </w:tblPr>
      <w:tblGrid>
        <w:gridCol w:w="10224"/>
      </w:tblGrid>
      <w:tr>
        <w:tc>
          <w:tcPr>
            <w:tcW w:type="dxa" w:w="10224"/>
            <w:shd w:fill="EEF2FF"/>
            <w:tcBorders>
              <w:top w:val="single" w:sz="8" w:space="0" w:color="4F46E5"/>
              <w:left w:val="single" w:sz="8" w:space="0" w:color="4F46E5"/>
              <w:bottom w:val="single" w:sz="8" w:space="0" w:color="4F46E5"/>
              <w:right w:val="single" w:sz="8" w:space="0" w:color="4F46E5"/>
            </w:tcBorders>
            <w:tcMar>
              <w:top w:w="160" w:type="dxa"/>
              <w:start w:w="180" w:type="dxa"/>
              <w:bottom w:w="160" w:type="dxa"/>
              <w:end w:w="180" w:type="dxa"/>
            </w:tcMar>
          </w:tcPr>
          <w:p>
            <w:pPr>
              <w:pStyle w:val="CalloutTitle"/>
            </w:pPr>
            <w:r>
              <w:rPr>
                <w:b/>
              </w:rPr>
              <w:t>Recommended Phase 3 Direction</w:t>
            </w:r>
          </w:p>
          <w:p>
            <w:pPr>
              <w:pStyle w:val="CalloutBody"/>
            </w:pPr>
            <w:r>
              <w:t>Frontend -&gt; Backend API -&gt; Workflow Orchestrator -&gt; Document Ingestion -&gt; Metadata Extraction -&gt; Retrieval Layer -&gt; Model Router -&gt; Evaluator/Validator -&gt; Human Approval Gates -&gt; Export Service -&gt; Audit, Usage, and Monitoring.</w:t>
            </w:r>
          </w:p>
        </w:tc>
      </w:tr>
    </w:tbl>
    <w:tbl>
      <w:tblPr>
        <w:tblStyle w:val="TableGrid"/>
        <w:tblW w:type="auto" w:w="0"/>
        <w:jc w:val="center"/>
        <w:tblLook w:firstColumn="1" w:firstRow="1" w:lastColumn="0" w:lastRow="0" w:noHBand="0" w:noVBand="1" w:val="04A0"/>
      </w:tblPr>
      <w:tblGrid>
        <w:gridCol w:w="5112"/>
        <w:gridCol w:w="5112"/>
      </w:tblGrid>
      <w:tr>
        <w:tc>
          <w:tcPr>
            <w:tcW w:type="dxa" w:w="3024"/>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Mode</w:t>
            </w:r>
          </w:p>
        </w:tc>
        <w:tc>
          <w:tcPr>
            <w:tcW w:type="dxa" w:w="6912"/>
            <w:shd w:fill="1E1B4B"/>
            <w:tcBorders>
              <w:top w:val="single" w:sz="4" w:space="0" w:color="1E1B4B"/>
              <w:left w:val="single" w:sz="4" w:space="0" w:color="1E1B4B"/>
              <w:bottom w:val="single" w:sz="4" w:space="0" w:color="1E1B4B"/>
              <w:right w:val="single" w:sz="4" w:space="0" w:color="1E1B4B"/>
            </w:tcBorders>
            <w:tcMar>
              <w:top w:w="100" w:type="dxa"/>
              <w:start w:w="120" w:type="dxa"/>
              <w:bottom w:w="100" w:type="dxa"/>
              <w:end w:w="120" w:type="dxa"/>
            </w:tcMar>
          </w:tcPr>
          <w:p>
            <w:pPr>
              <w:jc w:val="left"/>
            </w:pPr>
            <w:r>
              <w:rPr>
                <w:b/>
                <w:color w:val="FFFFFF"/>
                <w:sz w:val="17"/>
              </w:rPr>
              <w:t>Purpose</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Private Local Mode</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For sensitive documents and offline workflows.</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Private Server Mode</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For enterprise deployments with stronger GPUs.</w:t>
            </w:r>
          </w:p>
        </w:tc>
      </w:tr>
      <w:tr>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Managed AI Mode</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For organizations that allow approved cloud AI APIs.</w:t>
            </w:r>
          </w:p>
        </w:tc>
      </w:tr>
      <w:tr>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Hybrid Mode</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retrieval plus approved cloud generation for non-sensitive sections.</w:t>
            </w:r>
          </w:p>
        </w:tc>
      </w:tr>
    </w:tbl>
    <w:p/>
    <w:p>
      <w:pPr>
        <w:pStyle w:val="Heading1"/>
      </w:pPr>
      <w:r>
        <w:t>21A. Current Repository Structure</w:t>
      </w:r>
    </w:p>
    <w:p>
      <w:r>
        <w:t>The Phase 2 repository is organized into backend, frontend, and documentation layers. The structure is intentionally simple for a local POC, but it should be cleaned before public or stakeholder sharing.</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Path</w:t>
            </w:r>
          </w:p>
        </w:tc>
        <w:tc>
          <w:tcPr>
            <w:tcW w:type="dxa" w:w="4752"/>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Purpose</w:t>
            </w:r>
          </w:p>
        </w:tc>
        <w:tc>
          <w:tcPr>
            <w:tcW w:type="dxa" w:w="2880"/>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Production Note</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backend/app/api/routes</w:t>
            </w:r>
          </w:p>
        </w:tc>
        <w:tc>
          <w:tcPr>
            <w:tcW w:type="dxa" w:w="475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FastAPI route handlers for health, uploads, RFPs, chat, generation, audit, usage, and settings.</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Keep route handlers thin; move business logic into services.</w:t>
            </w:r>
          </w:p>
        </w:tc>
      </w:tr>
      <w:tr>
        <w:tc>
          <w:tcPr>
            <w:tcW w:type="dxa" w:w="259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backend/app/services</w:t>
            </w:r>
          </w:p>
        </w:tc>
        <w:tc>
          <w:tcPr>
            <w:tcW w:type="dxa" w:w="475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Core backend services for parsing, classification, metadata extraction, retrieval, local AI runtime, chat, generation, export, audit, and usage.</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Should remain the main domain layer; split into packages if it grows.</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backend/app/models</w:t>
            </w:r>
          </w:p>
        </w:tc>
        <w:tc>
          <w:tcPr>
            <w:tcW w:type="dxa" w:w="475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SQLAlchemy models for documents, chunks, drafts, jobs, audit, and usage records.</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Move from SQLite-focused assumptions to proper migrations.</w:t>
            </w:r>
          </w:p>
        </w:tc>
      </w:tr>
      <w:tr>
        <w:tc>
          <w:tcPr>
            <w:tcW w:type="dxa" w:w="259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backend/app/schemas</w:t>
            </w:r>
          </w:p>
        </w:tc>
        <w:tc>
          <w:tcPr>
            <w:tcW w:type="dxa" w:w="475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Pydantic request/response models.</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Keep API contracts stable for frontend and MCP.</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backend/mcp_server</w:t>
            </w:r>
          </w:p>
        </w:tc>
        <w:tc>
          <w:tcPr>
            <w:tcW w:type="dxa" w:w="475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MCP-style wrapper exposing controlled tools.</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Keep read-only defaults and confirmation gates for risky tools.</w:t>
            </w:r>
          </w:p>
        </w:tc>
      </w:tr>
      <w:tr>
        <w:tc>
          <w:tcPr>
            <w:tcW w:type="dxa" w:w="259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backend/scratch</w:t>
            </w:r>
          </w:p>
        </w:tc>
        <w:tc>
          <w:tcPr>
            <w:tcW w:type="dxa" w:w="475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Smoke tests, diagnostics, repair scripts, and local validation scripts.</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Separate true test suite from ad-hoc scripts in future.</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frontend/app</w:t>
            </w:r>
          </w:p>
        </w:tc>
        <w:tc>
          <w:tcPr>
            <w:tcW w:type="dxa" w:w="475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Next.js app routes for dashboard, upload, RFP detail, draft workspace, audit, and settings.</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Can evolve into a stronger product UI.</w:t>
            </w:r>
          </w:p>
        </w:tc>
      </w:tr>
      <w:tr>
        <w:tc>
          <w:tcPr>
            <w:tcW w:type="dxa" w:w="259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frontend/components</w:t>
            </w:r>
          </w:p>
        </w:tc>
        <w:tc>
          <w:tcPr>
            <w:tcW w:type="dxa" w:w="475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Reusable UI components including app shell, chat panel, badges, cards, modals, and source panels.</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Continue extracting common workflow components.</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frontend/lib</w:t>
            </w:r>
          </w:p>
        </w:tc>
        <w:tc>
          <w:tcPr>
            <w:tcW w:type="dxa" w:w="475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API client, types, and UI label mapping.</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Good pattern for hiding technical labels from stakeholders.</w:t>
            </w:r>
          </w:p>
        </w:tc>
      </w:tr>
      <w:tr>
        <w:tc>
          <w:tcPr>
            <w:tcW w:type="dxa" w:w="259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docs</w:t>
            </w:r>
          </w:p>
        </w:tc>
        <w:tc>
          <w:tcPr>
            <w:tcW w:type="dxa" w:w="475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Architecture, API contract, demo script, and closure documentation.</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Should become the source of truth for future contributors.</w:t>
            </w:r>
          </w:p>
        </w:tc>
      </w:tr>
    </w:tbl>
    <w:p/>
    <w:tbl>
      <w:tblPr>
        <w:tblW w:type="auto" w:w="0"/>
        <w:jc w:val="center"/>
        <w:tblLayout w:type="autofit"/>
        <w:tblLook w:firstColumn="1" w:firstRow="1" w:lastColumn="0" w:lastRow="0" w:noHBand="0" w:noVBand="1" w:val="04A0"/>
      </w:tblPr>
      <w:tblGrid>
        <w:gridCol w:w="10224"/>
      </w:tblGrid>
      <w:tr>
        <w:tc>
          <w:tcPr>
            <w:tcW w:type="dxa" w:w="10224"/>
            <w:shd w:fill="FEE2E2"/>
            <w:tcBorders>
              <w:top w:val="single" w:sz="8" w:space="0" w:color="DC2626"/>
              <w:left w:val="single" w:sz="8" w:space="0" w:color="DC2626"/>
              <w:bottom w:val="single" w:sz="8" w:space="0" w:color="DC2626"/>
              <w:right w:val="single" w:sz="8" w:space="0" w:color="DC2626"/>
            </w:tcBorders>
            <w:tcMar>
              <w:top w:w="160" w:type="dxa"/>
              <w:start w:w="180" w:type="dxa"/>
              <w:bottom w:w="160" w:type="dxa"/>
              <w:end w:w="180" w:type="dxa"/>
            </w:tcMar>
          </w:tcPr>
          <w:p>
            <w:pPr>
              <w:pStyle w:val="CalloutTitle"/>
            </w:pPr>
            <w:r>
              <w:rPr>
                <w:b/>
              </w:rPr>
              <w:t>Repository Cleanup Warning</w:t>
            </w:r>
          </w:p>
          <w:p>
            <w:pPr>
              <w:pStyle w:val="CalloutBody"/>
            </w:pPr>
            <w:r>
              <w:t>The live SQLite database and journal files should not be committed to GitHub. They may contain document metadata, chat history, generated drafts, audit logs, usage logs, and local paths. Keep schema/demo scripts instead.</w:t>
            </w:r>
          </w:p>
        </w:tc>
      </w:tr>
    </w:tbl>
    <w:p>
      <w:pPr>
        <w:pStyle w:val="Heading1"/>
      </w:pPr>
      <w:r>
        <w:t>21B. Detailed End-to-End Workflow</w:t>
      </w:r>
    </w:p>
    <w:p>
      <w:r>
        <w:t>The current product workflow can be explained as a seven-step local process. This is the recommended language for stakeholder demos because it avoids technical terms like embeddings and chunks.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shd w:fill="064E3B"/>
            <w:tcBorders>
              <w:top w:val="single" w:sz="4" w:space="0" w:color="064E3B"/>
              <w:left w:val="single" w:sz="4" w:space="0" w:color="064E3B"/>
              <w:bottom w:val="single" w:sz="4" w:space="0" w:color="064E3B"/>
              <w:right w:val="single" w:sz="4" w:space="0" w:color="064E3B"/>
            </w:tcBorders>
            <w:tcMar>
              <w:top w:w="100" w:type="dxa"/>
              <w:start w:w="120" w:type="dxa"/>
              <w:bottom w:w="100" w:type="dxa"/>
              <w:end w:w="120" w:type="dxa"/>
            </w:tcMar>
          </w:tcPr>
          <w:p>
            <w:pPr>
              <w:jc w:val="left"/>
            </w:pPr>
            <w:r>
              <w:rPr>
                <w:b/>
                <w:color w:val="FFFFFF"/>
                <w:sz w:val="17"/>
              </w:rPr>
              <w:t>Step</w:t>
            </w:r>
          </w:p>
        </w:tc>
        <w:tc>
          <w:tcPr>
            <w:tcW w:type="dxa" w:w="2304"/>
            <w:shd w:fill="064E3B"/>
            <w:tcBorders>
              <w:top w:val="single" w:sz="4" w:space="0" w:color="064E3B"/>
              <w:left w:val="single" w:sz="4" w:space="0" w:color="064E3B"/>
              <w:bottom w:val="single" w:sz="4" w:space="0" w:color="064E3B"/>
              <w:right w:val="single" w:sz="4" w:space="0" w:color="064E3B"/>
            </w:tcBorders>
            <w:tcMar>
              <w:top w:w="100" w:type="dxa"/>
              <w:start w:w="120" w:type="dxa"/>
              <w:bottom w:w="100" w:type="dxa"/>
              <w:end w:w="120" w:type="dxa"/>
            </w:tcMar>
          </w:tcPr>
          <w:p>
            <w:pPr>
              <w:jc w:val="left"/>
            </w:pPr>
            <w:r>
              <w:rPr>
                <w:b/>
                <w:color w:val="FFFFFF"/>
                <w:sz w:val="17"/>
              </w:rPr>
              <w:t>Stakeholder Label</w:t>
            </w:r>
          </w:p>
        </w:tc>
        <w:tc>
          <w:tcPr>
            <w:tcW w:type="dxa" w:w="4320"/>
            <w:shd w:fill="064E3B"/>
            <w:tcBorders>
              <w:top w:val="single" w:sz="4" w:space="0" w:color="064E3B"/>
              <w:left w:val="single" w:sz="4" w:space="0" w:color="064E3B"/>
              <w:bottom w:val="single" w:sz="4" w:space="0" w:color="064E3B"/>
              <w:right w:val="single" w:sz="4" w:space="0" w:color="064E3B"/>
            </w:tcBorders>
            <w:tcMar>
              <w:top w:w="100" w:type="dxa"/>
              <w:start w:w="120" w:type="dxa"/>
              <w:bottom w:w="100" w:type="dxa"/>
              <w:end w:w="120" w:type="dxa"/>
            </w:tcMar>
          </w:tcPr>
          <w:p>
            <w:pPr>
              <w:jc w:val="left"/>
            </w:pPr>
            <w:r>
              <w:rPr>
                <w:b/>
                <w:color w:val="FFFFFF"/>
                <w:sz w:val="17"/>
              </w:rPr>
              <w:t>System Action</w:t>
            </w:r>
          </w:p>
        </w:tc>
        <w:tc>
          <w:tcPr>
            <w:tcW w:type="dxa" w:w="2880"/>
            <w:shd w:fill="064E3B"/>
            <w:tcBorders>
              <w:top w:val="single" w:sz="4" w:space="0" w:color="064E3B"/>
              <w:left w:val="single" w:sz="4" w:space="0" w:color="064E3B"/>
              <w:bottom w:val="single" w:sz="4" w:space="0" w:color="064E3B"/>
              <w:right w:val="single" w:sz="4" w:space="0" w:color="064E3B"/>
            </w:tcBorders>
            <w:tcMar>
              <w:top w:w="100" w:type="dxa"/>
              <w:start w:w="120" w:type="dxa"/>
              <w:bottom w:w="100" w:type="dxa"/>
              <w:end w:w="120" w:type="dxa"/>
            </w:tcMar>
          </w:tcPr>
          <w:p>
            <w:pPr>
              <w:jc w:val="left"/>
            </w:pPr>
            <w:r>
              <w:rPr>
                <w:b/>
                <w:color w:val="FFFFFF"/>
                <w:sz w:val="17"/>
              </w:rPr>
              <w:t>User Outcome</w:t>
            </w:r>
          </w:p>
        </w:tc>
      </w:tr>
      <w:tr>
        <w:tc>
          <w:tcPr>
            <w:tcW w:type="dxa" w:w="7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1</w:t>
            </w:r>
          </w:p>
        </w:tc>
        <w:tc>
          <w:tcPr>
            <w:tcW w:type="dxa" w:w="230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Upload RFP</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File is saved locally and a document record is created.</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workspace receives the RFP without sending it to an external provider.</w:t>
            </w:r>
          </w:p>
        </w:tc>
      </w:tr>
      <w:tr>
        <w:tc>
          <w:tcPr>
            <w:tcW w:type="dxa" w:w="72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2</w:t>
            </w:r>
          </w:p>
        </w:tc>
        <w:tc>
          <w:tcPr>
            <w:tcW w:type="dxa" w:w="230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Check Document</w:t>
            </w:r>
          </w:p>
        </w:tc>
        <w:tc>
          <w:tcPr>
            <w:tcW w:type="dxa" w:w="432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Text is extracted locally; quality, word count, and metadata are calculated.</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user sees whether the document is ready or needs attention.</w:t>
            </w:r>
          </w:p>
        </w:tc>
      </w:tr>
      <w:tr>
        <w:tc>
          <w:tcPr>
            <w:tcW w:type="dxa" w:w="7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3</w:t>
            </w:r>
          </w:p>
        </w:tc>
        <w:tc>
          <w:tcPr>
            <w:tcW w:type="dxa" w:w="230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Prepare for Chat</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document is split into sections and local search vectors are generated.</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RFP becomes searchable for private Q&amp;A.</w:t>
            </w:r>
          </w:p>
        </w:tc>
      </w:tr>
      <w:tr>
        <w:tc>
          <w:tcPr>
            <w:tcW w:type="dxa" w:w="72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4</w:t>
            </w:r>
          </w:p>
        </w:tc>
        <w:tc>
          <w:tcPr>
            <w:tcW w:type="dxa" w:w="230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Ask Questions</w:t>
            </w:r>
          </w:p>
        </w:tc>
        <w:tc>
          <w:tcPr>
            <w:tcW w:type="dxa" w:w="432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Simple messages are answered locally; RFP questions use retrieval plus local AI.</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Users can ask about scope, risks, deadlines, and requirements.</w:t>
            </w:r>
          </w:p>
        </w:tc>
      </w:tr>
      <w:tr>
        <w:tc>
          <w:tcPr>
            <w:tcW w:type="dxa" w:w="7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5</w:t>
            </w:r>
          </w:p>
        </w:tc>
        <w:tc>
          <w:tcPr>
            <w:tcW w:type="dxa" w:w="230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Generate Draft</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system generates an 8-section first draft locally, with progress tracking.</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 proposal draft is prepared for human review.</w:t>
            </w:r>
          </w:p>
        </w:tc>
      </w:tr>
      <w:tr>
        <w:tc>
          <w:tcPr>
            <w:tcW w:type="dxa" w:w="72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6</w:t>
            </w:r>
          </w:p>
        </w:tc>
        <w:tc>
          <w:tcPr>
            <w:tcW w:type="dxa" w:w="230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Export Word Document</w:t>
            </w:r>
          </w:p>
        </w:tc>
        <w:tc>
          <w:tcPr>
            <w:tcW w:type="dxa" w:w="432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draft is validated and exported as DOCX.</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team receives a Word document for review/editing.</w:t>
            </w:r>
          </w:p>
        </w:tc>
      </w:tr>
      <w:tr>
        <w:tc>
          <w:tcPr>
            <w:tcW w:type="dxa" w:w="7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7</w:t>
            </w:r>
          </w:p>
        </w:tc>
        <w:tc>
          <w:tcPr>
            <w:tcW w:type="dxa" w:w="230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Review Activity</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Audit and usage logs are recorded.</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The team can prove actions were local and traceable.</w:t>
            </w:r>
          </w:p>
        </w:tc>
      </w:tr>
    </w:tbl>
    <w:p/>
    <w:p>
      <w:pPr>
        <w:pStyle w:val="Heading1"/>
      </w:pPr>
      <w:r>
        <w:t>21C. Detailed Failure Analysis</w:t>
      </w:r>
    </w:p>
    <w:p>
      <w:r>
        <w:t>Several important issues were discovered during live testing. These were valuable because they clarified what a production system must handle from the beginning.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7F1D1D"/>
            <w:tcBorders>
              <w:top w:val="single" w:sz="4" w:space="0" w:color="7F1D1D"/>
              <w:left w:val="single" w:sz="4" w:space="0" w:color="7F1D1D"/>
              <w:bottom w:val="single" w:sz="4" w:space="0" w:color="7F1D1D"/>
              <w:right w:val="single" w:sz="4" w:space="0" w:color="7F1D1D"/>
            </w:tcBorders>
            <w:tcMar>
              <w:top w:w="100" w:type="dxa"/>
              <w:start w:w="120" w:type="dxa"/>
              <w:bottom w:w="100" w:type="dxa"/>
              <w:end w:w="120" w:type="dxa"/>
            </w:tcMar>
          </w:tcPr>
          <w:p>
            <w:pPr>
              <w:jc w:val="left"/>
            </w:pPr>
            <w:r>
              <w:rPr>
                <w:b/>
                <w:color w:val="FFFFFF"/>
                <w:sz w:val="17"/>
              </w:rPr>
              <w:t>Issue</w:t>
            </w:r>
          </w:p>
        </w:tc>
        <w:tc>
          <w:tcPr>
            <w:tcW w:type="dxa" w:w="2880"/>
            <w:shd w:fill="7F1D1D"/>
            <w:tcBorders>
              <w:top w:val="single" w:sz="4" w:space="0" w:color="7F1D1D"/>
              <w:left w:val="single" w:sz="4" w:space="0" w:color="7F1D1D"/>
              <w:bottom w:val="single" w:sz="4" w:space="0" w:color="7F1D1D"/>
              <w:right w:val="single" w:sz="4" w:space="0" w:color="7F1D1D"/>
            </w:tcBorders>
            <w:tcMar>
              <w:top w:w="100" w:type="dxa"/>
              <w:start w:w="120" w:type="dxa"/>
              <w:bottom w:w="100" w:type="dxa"/>
              <w:end w:w="120" w:type="dxa"/>
            </w:tcMar>
          </w:tcPr>
          <w:p>
            <w:pPr>
              <w:jc w:val="left"/>
            </w:pPr>
            <w:r>
              <w:rPr>
                <w:b/>
                <w:color w:val="FFFFFF"/>
                <w:sz w:val="17"/>
              </w:rPr>
              <w:t>Observed Behavior</w:t>
            </w:r>
          </w:p>
        </w:tc>
        <w:tc>
          <w:tcPr>
            <w:tcW w:type="dxa" w:w="3024"/>
            <w:shd w:fill="7F1D1D"/>
            <w:tcBorders>
              <w:top w:val="single" w:sz="4" w:space="0" w:color="7F1D1D"/>
              <w:left w:val="single" w:sz="4" w:space="0" w:color="7F1D1D"/>
              <w:bottom w:val="single" w:sz="4" w:space="0" w:color="7F1D1D"/>
              <w:right w:val="single" w:sz="4" w:space="0" w:color="7F1D1D"/>
            </w:tcBorders>
            <w:tcMar>
              <w:top w:w="100" w:type="dxa"/>
              <w:start w:w="120" w:type="dxa"/>
              <w:bottom w:w="100" w:type="dxa"/>
              <w:end w:w="120" w:type="dxa"/>
            </w:tcMar>
          </w:tcPr>
          <w:p>
            <w:pPr>
              <w:jc w:val="left"/>
            </w:pPr>
            <w:r>
              <w:rPr>
                <w:b/>
                <w:color w:val="FFFFFF"/>
                <w:sz w:val="17"/>
              </w:rPr>
              <w:t>Root Cause</w:t>
            </w:r>
          </w:p>
        </w:tc>
        <w:tc>
          <w:tcPr>
            <w:tcW w:type="dxa" w:w="2880"/>
            <w:shd w:fill="7F1D1D"/>
            <w:tcBorders>
              <w:top w:val="single" w:sz="4" w:space="0" w:color="7F1D1D"/>
              <w:left w:val="single" w:sz="4" w:space="0" w:color="7F1D1D"/>
              <w:bottom w:val="single" w:sz="4" w:space="0" w:color="7F1D1D"/>
              <w:right w:val="single" w:sz="4" w:space="0" w:color="7F1D1D"/>
            </w:tcBorders>
            <w:tcMar>
              <w:top w:w="100" w:type="dxa"/>
              <w:start w:w="120" w:type="dxa"/>
              <w:bottom w:w="100" w:type="dxa"/>
              <w:end w:w="120" w:type="dxa"/>
            </w:tcMar>
          </w:tcPr>
          <w:p>
            <w:pPr>
              <w:jc w:val="left"/>
            </w:pPr>
            <w:r>
              <w:rPr>
                <w:b/>
                <w:color w:val="FFFFFF"/>
                <w:sz w:val="17"/>
              </w:rPr>
              <w:t>Resolution / Learning</w:t>
            </w:r>
          </w:p>
        </w:tc>
      </w:tr>
      <w:tr>
        <w:tc>
          <w:tcPr>
            <w:tcW w:type="dxa" w:w="216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Slow generation</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Short drafts could take many minutes on CPU.</w:t>
            </w:r>
          </w:p>
        </w:tc>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Small local model running without dedicated GPU.</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Acceptable for POC; production needs stronger runtime or model routing.</w:t>
            </w:r>
          </w:p>
        </w:tc>
      </w:tr>
      <w:tr>
        <w:tc>
          <w:tcPr>
            <w:tcW w:type="dxa" w:w="216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Ollama online but chat failed</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Status showed local engine online while chat returned offline/busy messages.</w:t>
            </w:r>
          </w:p>
        </w:tc>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Health check passed, but actual generation call could timeout or conflict.</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Added shared runtime manager, better error classification, and operation locking.</w:t>
            </w:r>
          </w:p>
        </w:tc>
      </w:tr>
      <w:tr>
        <w:tc>
          <w:tcPr>
            <w:tcW w:type="dxa" w:w="216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Wrong chat response order</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 greeting could show a previous thanks/offline response.</w:t>
            </w:r>
          </w:p>
        </w:tc>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Frontend history refresh could overwrite current state.</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Chat UI now ties responses to the correct user turn.</w:t>
            </w:r>
          </w:p>
        </w:tc>
      </w:tr>
      <w:tr>
        <w:tc>
          <w:tcPr>
            <w:tcW w:type="dxa" w:w="216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Bad draft content</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Infrastructure error text could appear inside generated sections.</w:t>
            </w:r>
          </w:p>
        </w:tc>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Failures were treated as content.</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Export validation now blocks error text and invalid drafts.</w:t>
            </w:r>
          </w:p>
        </w:tc>
      </w:tr>
      <w:tr>
        <w:tc>
          <w:tcPr>
            <w:tcW w:type="dxa" w:w="216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Wrong deadline metadata</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TOC lines were selected as deadline/submission date.</w:t>
            </w:r>
          </w:p>
        </w:tc>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Extractor did not ignore dotted TOC/page-reference lines.</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Metadata extraction now ignores TOC-like lines and requires real date patterns.</w:t>
            </w:r>
          </w:p>
        </w:tc>
      </w:tr>
      <w:tr>
        <w:tc>
          <w:tcPr>
            <w:tcW w:type="dxa" w:w="216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Duplicate generation</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User could navigate away and start generation again.</w:t>
            </w:r>
          </w:p>
        </w:tc>
        <w:tc>
          <w:tcPr>
            <w:tcW w:type="dxa" w:w="3024"/>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No strong running-job lock across pages.</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Generation lock and conflict response were added.</w:t>
            </w:r>
          </w:p>
        </w:tc>
      </w:tr>
      <w:tr>
        <w:tc>
          <w:tcPr>
            <w:tcW w:type="dxa" w:w="216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SQLite disk I/O</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MCP scripts saw SQLite disk I/O errors.</w:t>
            </w:r>
          </w:p>
        </w:tc>
        <w:tc>
          <w:tcPr>
            <w:tcW w:type="dxa" w:w="3024"/>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Relative DB path and OneDrive/local file contention.</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Database path resolution and WAL/busy timeout handling improved.</w:t>
            </w:r>
          </w:p>
        </w:tc>
      </w:tr>
    </w:tbl>
    <w:p/>
    <w:p>
      <w:pPr>
        <w:pStyle w:val="Heading1"/>
      </w:pPr>
      <w:r>
        <w:t>21D. Security, Privacy, and Compliance Notes</w:t>
      </w:r>
    </w:p>
    <w:p>
      <w:r>
        <w:t>Phase 2 does not make the system production-secure, but it establishes a strong privacy story for a POC. The most important security claim is that private mode does not require sending RFP content to external AI providers.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374151"/>
            <w:tcBorders>
              <w:top w:val="single" w:sz="4" w:space="0" w:color="374151"/>
              <w:left w:val="single" w:sz="4" w:space="0" w:color="374151"/>
              <w:bottom w:val="single" w:sz="4" w:space="0" w:color="374151"/>
              <w:right w:val="single" w:sz="4" w:space="0" w:color="374151"/>
            </w:tcBorders>
            <w:tcMar>
              <w:top w:w="100" w:type="dxa"/>
              <w:start w:w="120" w:type="dxa"/>
              <w:bottom w:w="100" w:type="dxa"/>
              <w:end w:w="120" w:type="dxa"/>
            </w:tcMar>
          </w:tcPr>
          <w:p>
            <w:pPr>
              <w:jc w:val="left"/>
            </w:pPr>
            <w:r>
              <w:rPr>
                <w:b/>
                <w:color w:val="FFFFFF"/>
                <w:sz w:val="17"/>
              </w:rPr>
              <w:t>Area</w:t>
            </w:r>
          </w:p>
        </w:tc>
        <w:tc>
          <w:tcPr>
            <w:tcW w:type="dxa" w:w="3888"/>
            <w:shd w:fill="374151"/>
            <w:tcBorders>
              <w:top w:val="single" w:sz="4" w:space="0" w:color="374151"/>
              <w:left w:val="single" w:sz="4" w:space="0" w:color="374151"/>
              <w:bottom w:val="single" w:sz="4" w:space="0" w:color="374151"/>
              <w:right w:val="single" w:sz="4" w:space="0" w:color="374151"/>
            </w:tcBorders>
            <w:tcMar>
              <w:top w:w="100" w:type="dxa"/>
              <w:start w:w="120" w:type="dxa"/>
              <w:bottom w:w="100" w:type="dxa"/>
              <w:end w:w="120" w:type="dxa"/>
            </w:tcMar>
          </w:tcPr>
          <w:p>
            <w:pPr>
              <w:jc w:val="left"/>
            </w:pPr>
            <w:r>
              <w:rPr>
                <w:b/>
                <w:color w:val="FFFFFF"/>
                <w:sz w:val="17"/>
              </w:rPr>
              <w:t>Current POC Position</w:t>
            </w:r>
          </w:p>
        </w:tc>
        <w:tc>
          <w:tcPr>
            <w:tcW w:type="dxa" w:w="3888"/>
            <w:shd w:fill="374151"/>
            <w:tcBorders>
              <w:top w:val="single" w:sz="4" w:space="0" w:color="374151"/>
              <w:left w:val="single" w:sz="4" w:space="0" w:color="374151"/>
              <w:bottom w:val="single" w:sz="4" w:space="0" w:color="374151"/>
              <w:right w:val="single" w:sz="4" w:space="0" w:color="374151"/>
            </w:tcBorders>
            <w:tcMar>
              <w:top w:w="100" w:type="dxa"/>
              <w:start w:w="120" w:type="dxa"/>
              <w:bottom w:w="100" w:type="dxa"/>
              <w:end w:w="120" w:type="dxa"/>
            </w:tcMar>
          </w:tcPr>
          <w:p>
            <w:pPr>
              <w:jc w:val="left"/>
            </w:pPr>
            <w:r>
              <w:rPr>
                <w:b/>
                <w:color w:val="FFFFFF"/>
                <w:sz w:val="17"/>
              </w:rPr>
              <w:t>Production Requirement</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Data movement</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RFP files, extracted text, embeddings, chat, draft, and export remain local.</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Formal data-flow review, encryption, and deployment boundary controls.</w:t>
            </w:r>
          </w:p>
        </w:tc>
      </w:tr>
      <w:tr>
        <w:tc>
          <w:tcPr>
            <w:tcW w:type="dxa" w:w="244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External AI</w:t>
            </w:r>
          </w:p>
        </w:tc>
        <w:tc>
          <w:tcPr>
            <w:tcW w:type="dxa" w:w="388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Disabled in private mode.</w:t>
            </w:r>
          </w:p>
        </w:tc>
        <w:tc>
          <w:tcPr>
            <w:tcW w:type="dxa" w:w="388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Policy-based model routing and tenant-specific provider controls.</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Audit</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audit logs record key operations.</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Immutable audit storage, retention rules, export controls, and admin review.</w:t>
            </w:r>
          </w:p>
        </w:tc>
      </w:tr>
      <w:tr>
        <w:tc>
          <w:tcPr>
            <w:tcW w:type="dxa" w:w="244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Authentication</w:t>
            </w:r>
          </w:p>
        </w:tc>
        <w:tc>
          <w:tcPr>
            <w:tcW w:type="dxa" w:w="388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Not production-grade in this POC.</w:t>
            </w:r>
          </w:p>
        </w:tc>
        <w:tc>
          <w:tcPr>
            <w:tcW w:type="dxa" w:w="388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SSO, RBAC, user roles, tenant isolation, and session security.</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Secrets</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POC should avoid committing secrets or DB files.</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Secret manager, environment isolation, CI scanning.</w:t>
            </w:r>
          </w:p>
        </w:tc>
      </w:tr>
      <w:tr>
        <w:tc>
          <w:tcPr>
            <w:tcW w:type="dxa" w:w="244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Database</w:t>
            </w:r>
          </w:p>
        </w:tc>
        <w:tc>
          <w:tcPr>
            <w:tcW w:type="dxa" w:w="388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SQLite local DB.</w:t>
            </w:r>
          </w:p>
        </w:tc>
        <w:tc>
          <w:tcPr>
            <w:tcW w:type="dxa" w:w="388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PostgreSQL, backups, migrations, access control, monitoring.</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Document storage</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file storage.</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Secure object storage, encryption at rest, retention policy.</w:t>
            </w:r>
          </w:p>
        </w:tc>
      </w:tr>
    </w:tbl>
    <w:p/>
    <w:p>
      <w:pPr>
        <w:pStyle w:val="Heading1"/>
      </w:pPr>
      <w:r>
        <w:t>21E. GitHub Closure Checklist</w:t>
      </w:r>
    </w:p>
    <w:p>
      <w:r>
        <w:t>Before the repository is shared as a completed POC, the following cleanup actions are recommended.</w:t>
      </w:r>
    </w:p>
    <w:tbl>
      <w:tblPr>
        <w:tblStyle w:val="TableGrid"/>
        <w:tblW w:type="auto" w:w="0"/>
        <w:jc w:val="center"/>
        <w:tblLook w:firstColumn="1" w:firstRow="1" w:lastColumn="0" w:lastRow="0" w:noHBand="0" w:noVBand="1" w:val="04A0"/>
      </w:tblPr>
      <w:tblGrid>
        <w:gridCol w:w="5112"/>
        <w:gridCol w:w="5112"/>
      </w:tblGrid>
      <w:tr>
        <w:tc>
          <w:tcPr>
            <w:tcW w:type="dxa" w:w="3168"/>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Checklist Item</w:t>
            </w:r>
          </w:p>
        </w:tc>
        <w:tc>
          <w:tcPr>
            <w:tcW w:type="dxa" w:w="6912"/>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Action</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Remove live SQLite DB</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Delete private_rfp.db, private_rfp.db-journal, WAL files, and SHM files from Git tracking.</w:t>
            </w:r>
          </w:p>
        </w:tc>
      </w:tr>
      <w:tr>
        <w:tc>
          <w:tcPr>
            <w:tcW w:type="dxa" w:w="31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Update .gitignore</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Ignore *.db, *.db-journal, *.db-wal, *.db-shm, storage/uploads, storage/exports, .env, .venv, node_modules, .next.</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Add sample data safely</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Use demo scripts or synthetic sample RFP text, not real confidential RFP content.</w:t>
            </w:r>
          </w:p>
        </w:tc>
      </w:tr>
      <w:tr>
        <w:tc>
          <w:tcPr>
            <w:tcW w:type="dxa" w:w="31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Document startup steps</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Keep backend, frontend, and Ollama run instructions in README.</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Document limitations</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Clearly state that this is a POC and not production-ready.</w:t>
            </w:r>
          </w:p>
        </w:tc>
      </w:tr>
      <w:tr>
        <w:tc>
          <w:tcPr>
            <w:tcW w:type="dxa" w:w="31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Add closure document</w:t>
            </w:r>
          </w:p>
        </w:tc>
        <w:tc>
          <w:tcPr>
            <w:tcW w:type="dxa" w:w="691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Commit this closure report under docs/PHASE2_CLOSURE.md or as a DOCX artifact.</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Add future roadmap</w:t>
            </w:r>
          </w:p>
        </w:tc>
        <w:tc>
          <w:tcPr>
            <w:tcW w:type="dxa" w:w="691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Create issues or roadmap items for Phase 3 redesign.</w:t>
            </w:r>
          </w:p>
        </w:tc>
      </w:tr>
    </w:tbl>
    <w:p/>
    <w:p>
      <w:pPr>
        <w:pStyle w:val="Heading1"/>
      </w:pPr>
      <w:r>
        <w:t>21F. Phase 3 Architecture Roadmap</w:t>
      </w:r>
    </w:p>
    <w:p>
      <w:r>
        <w:t>Phase 3 should not start by copying the Phase 2 architecture. It should start with a redesigned target architecture that preserves the successful pieces and replaces the weak pieces.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064E3B"/>
            <w:tcBorders>
              <w:top w:val="single" w:sz="4" w:space="0" w:color="064E3B"/>
              <w:left w:val="single" w:sz="4" w:space="0" w:color="064E3B"/>
              <w:bottom w:val="single" w:sz="4" w:space="0" w:color="064E3B"/>
              <w:right w:val="single" w:sz="4" w:space="0" w:color="064E3B"/>
            </w:tcBorders>
            <w:tcMar>
              <w:top w:w="100" w:type="dxa"/>
              <w:start w:w="120" w:type="dxa"/>
              <w:bottom w:w="100" w:type="dxa"/>
              <w:end w:w="120" w:type="dxa"/>
            </w:tcMar>
          </w:tcPr>
          <w:p>
            <w:pPr>
              <w:jc w:val="left"/>
            </w:pPr>
            <w:r>
              <w:rPr>
                <w:b/>
                <w:color w:val="FFFFFF"/>
                <w:sz w:val="17"/>
              </w:rPr>
              <w:t>Roadmap Area</w:t>
            </w:r>
          </w:p>
        </w:tc>
        <w:tc>
          <w:tcPr>
            <w:tcW w:type="dxa" w:w="4752"/>
            <w:shd w:fill="064E3B"/>
            <w:tcBorders>
              <w:top w:val="single" w:sz="4" w:space="0" w:color="064E3B"/>
              <w:left w:val="single" w:sz="4" w:space="0" w:color="064E3B"/>
              <w:bottom w:val="single" w:sz="4" w:space="0" w:color="064E3B"/>
              <w:right w:val="single" w:sz="4" w:space="0" w:color="064E3B"/>
            </w:tcBorders>
            <w:tcMar>
              <w:top w:w="100" w:type="dxa"/>
              <w:start w:w="120" w:type="dxa"/>
              <w:bottom w:w="100" w:type="dxa"/>
              <w:end w:w="120" w:type="dxa"/>
            </w:tcMar>
          </w:tcPr>
          <w:p>
            <w:pPr>
              <w:jc w:val="left"/>
            </w:pPr>
            <w:r>
              <w:rPr>
                <w:b/>
                <w:color w:val="FFFFFF"/>
                <w:sz w:val="17"/>
              </w:rPr>
              <w:t>Recommended Direction</w:t>
            </w:r>
          </w:p>
        </w:tc>
        <w:tc>
          <w:tcPr>
            <w:tcW w:type="dxa" w:w="2880"/>
            <w:shd w:fill="064E3B"/>
            <w:tcBorders>
              <w:top w:val="single" w:sz="4" w:space="0" w:color="064E3B"/>
              <w:left w:val="single" w:sz="4" w:space="0" w:color="064E3B"/>
              <w:bottom w:val="single" w:sz="4" w:space="0" w:color="064E3B"/>
              <w:right w:val="single" w:sz="4" w:space="0" w:color="064E3B"/>
            </w:tcBorders>
            <w:tcMar>
              <w:top w:w="100" w:type="dxa"/>
              <w:start w:w="120" w:type="dxa"/>
              <w:bottom w:w="100" w:type="dxa"/>
              <w:end w:w="120" w:type="dxa"/>
            </w:tcMar>
          </w:tcPr>
          <w:p>
            <w:pPr>
              <w:jc w:val="left"/>
            </w:pPr>
            <w:r>
              <w:rPr>
                <w:b/>
                <w:color w:val="FFFFFF"/>
                <w:sz w:val="17"/>
              </w:rPr>
              <w:t>Why</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Model layer</w:t>
            </w:r>
          </w:p>
        </w:tc>
        <w:tc>
          <w:tcPr>
            <w:tcW w:type="dxa" w:w="475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Use model routing: local for privacy/simple tasks, private GPU or approved managed model for heavy generation.</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One model cannot efficiently handle all task types.</w:t>
            </w:r>
          </w:p>
        </w:tc>
      </w:tr>
      <w:tr>
        <w:tc>
          <w:tcPr>
            <w:tcW w:type="dxa" w:w="244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Orchestration</w:t>
            </w:r>
          </w:p>
        </w:tc>
        <w:tc>
          <w:tcPr>
            <w:tcW w:type="dxa" w:w="475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Introduce durable workflow orchestration with retries, resume, cancellation, and evaluator loops.</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RFP generation is multi-step and failure-prone.</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Data layer</w:t>
            </w:r>
          </w:p>
        </w:tc>
        <w:tc>
          <w:tcPr>
            <w:tcW w:type="dxa" w:w="475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Move to PostgreSQL with migrations and structured metadata.</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SQLite is not enough for multi-user workflows.</w:t>
            </w:r>
          </w:p>
        </w:tc>
      </w:tr>
      <w:tr>
        <w:tc>
          <w:tcPr>
            <w:tcW w:type="dxa" w:w="244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Retrieval</w:t>
            </w:r>
          </w:p>
        </w:tc>
        <w:tc>
          <w:tcPr>
            <w:tcW w:type="dxa" w:w="475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Use a proper retrieval layer with metadata filters and possibly pgvector/vector DB.</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Large knowledge bases need better search management.</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Evidence repository</w:t>
            </w:r>
          </w:p>
        </w:tc>
        <w:tc>
          <w:tcPr>
            <w:tcW w:type="dxa" w:w="475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Add approved company facts, case studies, certifications, boilerplate, and templates.</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Proposal quality improves when model has verified company evidence.</w:t>
            </w:r>
          </w:p>
        </w:tc>
      </w:tr>
      <w:tr>
        <w:tc>
          <w:tcPr>
            <w:tcW w:type="dxa" w:w="244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Human approvals</w:t>
            </w:r>
          </w:p>
        </w:tc>
        <w:tc>
          <w:tcPr>
            <w:tcW w:type="dxa" w:w="475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Add approval gates for generation, compliance claims, final export, and submission.</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High-stakes tasks should not be fully autonomous.</w:t>
            </w:r>
          </w:p>
        </w:tc>
      </w:tr>
      <w:tr>
        <w:tc>
          <w:tcPr>
            <w:tcW w:type="dxa" w:w="244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Security</w:t>
            </w:r>
          </w:p>
        </w:tc>
        <w:tc>
          <w:tcPr>
            <w:tcW w:type="dxa" w:w="475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Add SSO/RBAC, tenant isolation, encryption, audit retention, and deployment controls.</w:t>
            </w:r>
          </w:p>
        </w:tc>
        <w:tc>
          <w:tcPr>
            <w:tcW w:type="dxa" w:w="288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Enterprise customers require governance.</w:t>
            </w:r>
          </w:p>
        </w:tc>
      </w:tr>
      <w:tr>
        <w:tc>
          <w:tcPr>
            <w:tcW w:type="dxa" w:w="244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Deployment</w:t>
            </w:r>
          </w:p>
        </w:tc>
        <w:tc>
          <w:tcPr>
            <w:tcW w:type="dxa" w:w="475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Support local desktop, private server, and hybrid cloud deployment modes.</w:t>
            </w:r>
          </w:p>
        </w:tc>
        <w:tc>
          <w:tcPr>
            <w:tcW w:type="dxa" w:w="288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Different customers will have different privacy constraints.</w:t>
            </w:r>
          </w:p>
        </w:tc>
      </w:tr>
    </w:tbl>
    <w:p/>
    <w:p>
      <w:pPr>
        <w:pStyle w:val="Heading1"/>
      </w:pPr>
      <w:r>
        <w:t>21G. Suggested Phase 3 Product Principles</w:t>
      </w:r>
    </w:p>
    <w:p>
      <w:pPr>
        <w:pStyle w:val="ListBullet"/>
      </w:pPr>
      <w:r>
        <w:t>Do not make the LLM control every step; keep deterministic services for parsing, validation, routing, and audit.</w:t>
      </w:r>
    </w:p>
    <w:p>
      <w:pPr>
        <w:pStyle w:val="ListBullet"/>
      </w:pPr>
      <w:r>
        <w:t>Use AI where it adds value: reasoning, summarization, drafting, evaluation, and rewriting.</w:t>
      </w:r>
    </w:p>
    <w:p>
      <w:pPr>
        <w:pStyle w:val="ListBullet"/>
      </w:pPr>
      <w:r>
        <w:t>Use human approval gates before high-risk actions.</w:t>
      </w:r>
    </w:p>
    <w:p>
      <w:pPr>
        <w:pStyle w:val="ListBullet"/>
      </w:pPr>
      <w:r>
        <w:t>Separate document memory from model memory; store durable context in the database and retrieval layer.</w:t>
      </w:r>
    </w:p>
    <w:p>
      <w:pPr>
        <w:pStyle w:val="ListBullet"/>
      </w:pPr>
      <w:r>
        <w:t>Design for long review cycles where PMs may return after days or weeks.</w:t>
      </w:r>
    </w:p>
    <w:p>
      <w:pPr>
        <w:pStyle w:val="ListBullet"/>
      </w:pPr>
      <w:r>
        <w:t>Do not depend on temporary provider context cache for core continuity.</w:t>
      </w:r>
    </w:p>
    <w:p>
      <w:pPr>
        <w:pStyle w:val="ListBullet"/>
      </w:pPr>
      <w:r>
        <w:t>Make every major action observable through audit and usage logs.</w:t>
      </w:r>
    </w:p>
    <w:p>
      <w:pPr>
        <w:pStyle w:val="ListBullet"/>
      </w:pPr>
      <w:r>
        <w:t>Prefer source-grounded answers over free-form generation.</w:t>
      </w:r>
    </w:p>
    <w:p>
      <w:pPr>
        <w:pStyle w:val="ListBullet"/>
      </w:pPr>
      <w:r>
        <w:t>Treat draft generation as a workflow, not a single prompt.</w:t>
      </w:r>
    </w:p>
    <w:p>
      <w:pPr>
        <w:pStyle w:val="ListBullet"/>
      </w:pPr>
      <w:r>
        <w:t>Measure quality with evaluators before presenting a draft as ready.</w:t>
      </w:r>
    </w:p>
    <w:p>
      <w:pPr>
        <w:pStyle w:val="Heading1"/>
      </w:pPr>
      <w:r>
        <w:t>22. Closure Decision</w:t>
      </w:r>
    </w:p>
    <w:tbl>
      <w:tblPr>
        <w:tblW w:type="auto" w:w="0"/>
        <w:jc w:val="center"/>
        <w:tblLayout w:type="autofit"/>
        <w:tblLook w:firstColumn="1" w:firstRow="1" w:lastColumn="0" w:lastRow="0" w:noHBand="0" w:noVBand="1" w:val="04A0"/>
      </w:tblPr>
      <w:tblGrid>
        <w:gridCol w:w="10224"/>
      </w:tblGrid>
      <w:tr>
        <w:tc>
          <w:tcPr>
            <w:tcW w:type="dxa" w:w="10224"/>
            <w:shd w:fill="ECFDF5"/>
            <w:tcBorders>
              <w:top w:val="single" w:sz="8" w:space="0" w:color="16A34A"/>
              <w:left w:val="single" w:sz="8" w:space="0" w:color="16A34A"/>
              <w:bottom w:val="single" w:sz="8" w:space="0" w:color="16A34A"/>
              <w:right w:val="single" w:sz="8" w:space="0" w:color="16A34A"/>
            </w:tcBorders>
            <w:tcMar>
              <w:top w:w="160" w:type="dxa"/>
              <w:start w:w="180" w:type="dxa"/>
              <w:bottom w:w="160" w:type="dxa"/>
              <w:end w:w="180" w:type="dxa"/>
            </w:tcMar>
          </w:tcPr>
          <w:p>
            <w:pPr>
              <w:pStyle w:val="CalloutTitle"/>
            </w:pPr>
            <w:r>
              <w:rPr>
                <w:b/>
              </w:rPr>
              <w:t>Formal Closure Statement</w:t>
            </w:r>
          </w:p>
          <w:p>
            <w:pPr>
              <w:pStyle w:val="CalloutBody"/>
            </w:pPr>
            <w:r>
              <w:t>Phase 2 should be formally closed as a successful technical POC demonstrating a privacy-first local RFP automation workflow. It should not be continued as the direct production architecture.</w:t>
            </w:r>
          </w:p>
        </w:tc>
      </w:tr>
    </w:tbl>
    <w:p>
      <w:pPr>
        <w:pStyle w:val="ListBullet"/>
      </w:pPr>
      <w:r>
        <w:t>Llama 3.2 3B is too slow and limited for production RFP generation.</w:t>
      </w:r>
    </w:p>
    <w:p>
      <w:pPr>
        <w:pStyle w:val="ListBullet"/>
      </w:pPr>
      <w:r>
        <w:t>Local CPU inference is not scalable for full proposal workflows.</w:t>
      </w:r>
    </w:p>
    <w:p>
      <w:pPr>
        <w:pStyle w:val="ListBullet"/>
      </w:pPr>
      <w:r>
        <w:t>Full proposal generation is not practical on the current hardware.</w:t>
      </w:r>
    </w:p>
    <w:p>
      <w:pPr>
        <w:pStyle w:val="ListBullet"/>
      </w:pPr>
      <w:r>
        <w:t>Production needs better orchestration and model routing.</w:t>
      </w:r>
    </w:p>
    <w:p>
      <w:pPr>
        <w:pStyle w:val="ListBullet"/>
      </w:pPr>
      <w:r>
        <w:t>Enterprise workflow requires stronger auth, queueing, monitoring, and deployment design.</w:t>
      </w:r>
    </w:p>
    <w:p>
      <w:pPr>
        <w:pStyle w:val="Heading1"/>
      </w:pPr>
      <w:r>
        <w:t>23. Final POC Readiness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Category</w:t>
            </w:r>
          </w:p>
        </w:tc>
        <w:tc>
          <w:tcPr>
            <w:tcW w:type="dxa" w:w="1440"/>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Score</w:t>
            </w:r>
          </w:p>
        </w:tc>
        <w:tc>
          <w:tcPr>
            <w:tcW w:type="dxa" w:w="5472"/>
            <w:shd w:fill="312E81"/>
            <w:tcBorders>
              <w:top w:val="single" w:sz="4" w:space="0" w:color="312E81"/>
              <w:left w:val="single" w:sz="4" w:space="0" w:color="312E81"/>
              <w:bottom w:val="single" w:sz="4" w:space="0" w:color="312E81"/>
              <w:right w:val="single" w:sz="4" w:space="0" w:color="312E81"/>
            </w:tcBorders>
            <w:tcMar>
              <w:top w:w="100" w:type="dxa"/>
              <w:start w:w="120" w:type="dxa"/>
              <w:bottom w:w="100" w:type="dxa"/>
              <w:end w:w="120" w:type="dxa"/>
            </w:tcMar>
          </w:tcPr>
          <w:p>
            <w:pPr>
              <w:jc w:val="left"/>
            </w:pPr>
            <w:r>
              <w:rPr>
                <w:b/>
                <w:color w:val="FFFFFF"/>
                <w:sz w:val="17"/>
              </w:rPr>
              <w:t>Notes</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privacy</w:t>
            </w:r>
          </w:p>
        </w:tc>
        <w:tc>
          <w:tcPr>
            <w:tcW w:type="dxa" w:w="144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9/10</w:t>
            </w:r>
          </w:p>
        </w:tc>
        <w:tc>
          <w:tcPr>
            <w:tcW w:type="dxa" w:w="547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Strong local-only proof.</w:t>
            </w:r>
          </w:p>
        </w:tc>
      </w:tr>
      <w:tr>
        <w:tc>
          <w:tcPr>
            <w:tcW w:type="dxa" w:w="31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Upload/parsing</w:t>
            </w:r>
          </w:p>
        </w:tc>
        <w:tc>
          <w:tcPr>
            <w:tcW w:type="dxa" w:w="144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8/10</w:t>
            </w:r>
          </w:p>
        </w:tc>
        <w:tc>
          <w:tcPr>
            <w:tcW w:type="dxa" w:w="547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Works for searchable files; OCR still needed.</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Classification</w:t>
            </w:r>
          </w:p>
        </w:tc>
        <w:tc>
          <w:tcPr>
            <w:tcW w:type="dxa" w:w="144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8/10</w:t>
            </w:r>
          </w:p>
        </w:tc>
        <w:tc>
          <w:tcPr>
            <w:tcW w:type="dxa" w:w="547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Improved but heuristic.</w:t>
            </w:r>
          </w:p>
        </w:tc>
      </w:tr>
      <w:tr>
        <w:tc>
          <w:tcPr>
            <w:tcW w:type="dxa" w:w="31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Metadata extraction</w:t>
            </w:r>
          </w:p>
        </w:tc>
        <w:tc>
          <w:tcPr>
            <w:tcW w:type="dxa" w:w="144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7/10</w:t>
            </w:r>
          </w:p>
        </w:tc>
        <w:tc>
          <w:tcPr>
            <w:tcW w:type="dxa" w:w="547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Improved but not semantic.</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Embeddings/retrieval</w:t>
            </w:r>
          </w:p>
        </w:tc>
        <w:tc>
          <w:tcPr>
            <w:tcW w:type="dxa" w:w="144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8/10</w:t>
            </w:r>
          </w:p>
        </w:tc>
        <w:tc>
          <w:tcPr>
            <w:tcW w:type="dxa" w:w="547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Works locally for MVP scale.</w:t>
            </w:r>
          </w:p>
        </w:tc>
      </w:tr>
      <w:tr>
        <w:tc>
          <w:tcPr>
            <w:tcW w:type="dxa" w:w="31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Private chat</w:t>
            </w:r>
          </w:p>
        </w:tc>
        <w:tc>
          <w:tcPr>
            <w:tcW w:type="dxa" w:w="144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8/10</w:t>
            </w:r>
          </w:p>
        </w:tc>
        <w:tc>
          <w:tcPr>
            <w:tcW w:type="dxa" w:w="547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Local intents and grounded chat work; speed varies.</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Draft generation</w:t>
            </w:r>
          </w:p>
        </w:tc>
        <w:tc>
          <w:tcPr>
            <w:tcW w:type="dxa" w:w="144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6/10</w:t>
            </w:r>
          </w:p>
        </w:tc>
        <w:tc>
          <w:tcPr>
            <w:tcW w:type="dxa" w:w="547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Works, but slow and quality-limited.</w:t>
            </w:r>
          </w:p>
        </w:tc>
      </w:tr>
      <w:tr>
        <w:tc>
          <w:tcPr>
            <w:tcW w:type="dxa" w:w="31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DOCX export</w:t>
            </w:r>
          </w:p>
        </w:tc>
        <w:tc>
          <w:tcPr>
            <w:tcW w:type="dxa" w:w="144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8/10</w:t>
            </w:r>
          </w:p>
        </w:tc>
        <w:tc>
          <w:tcPr>
            <w:tcW w:type="dxa" w:w="547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Works with validation safeguards.</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Audit/usage tracking</w:t>
            </w:r>
          </w:p>
        </w:tc>
        <w:tc>
          <w:tcPr>
            <w:tcW w:type="dxa" w:w="144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9/10</w:t>
            </w:r>
          </w:p>
        </w:tc>
        <w:tc>
          <w:tcPr>
            <w:tcW w:type="dxa" w:w="547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Strong POC-level tracking.</w:t>
            </w:r>
          </w:p>
        </w:tc>
      </w:tr>
      <w:tr>
        <w:tc>
          <w:tcPr>
            <w:tcW w:type="dxa" w:w="31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MCP/tool layer</w:t>
            </w:r>
          </w:p>
        </w:tc>
        <w:tc>
          <w:tcPr>
            <w:tcW w:type="dxa" w:w="144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8/10</w:t>
            </w:r>
          </w:p>
        </w:tc>
        <w:tc>
          <w:tcPr>
            <w:tcW w:type="dxa" w:w="547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Useful local wrapper; not production hardened.</w:t>
            </w:r>
          </w:p>
        </w:tc>
      </w:tr>
      <w:tr>
        <w:tc>
          <w:tcPr>
            <w:tcW w:type="dxa" w:w="316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UI/UX</w:t>
            </w:r>
          </w:p>
        </w:tc>
        <w:tc>
          <w:tcPr>
            <w:tcW w:type="dxa" w:w="1440"/>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8/10</w:t>
            </w:r>
          </w:p>
        </w:tc>
        <w:tc>
          <w:tcPr>
            <w:tcW w:type="dxa" w:w="5472"/>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Stakeholder-friendly after polish.</w:t>
            </w:r>
          </w:p>
        </w:tc>
      </w:tr>
      <w:tr>
        <w:tc>
          <w:tcPr>
            <w:tcW w:type="dxa" w:w="316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Production scalability</w:t>
            </w:r>
          </w:p>
        </w:tc>
        <w:tc>
          <w:tcPr>
            <w:tcW w:type="dxa" w:w="1440"/>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4/10</w:t>
            </w:r>
          </w:p>
        </w:tc>
        <w:tc>
          <w:tcPr>
            <w:tcW w:type="dxa" w:w="5472"/>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tcPr>
          <w:p>
            <w:r>
              <w:rPr>
                <w:color w:val="1F2937"/>
                <w:sz w:val="16"/>
              </w:rPr>
              <w:t>Requires redesign.</w:t>
            </w:r>
          </w:p>
        </w:tc>
      </w:tr>
    </w:tbl>
    <w:p/>
    <w:tbl>
      <w:tblPr>
        <w:tblW w:type="auto" w:w="0"/>
        <w:jc w:val="center"/>
        <w:tblLayout w:type="autofit"/>
        <w:tblLook w:firstColumn="1" w:firstRow="1" w:lastColumn="0" w:lastRow="0" w:noHBand="0" w:noVBand="1" w:val="04A0"/>
      </w:tblPr>
      <w:tblGrid>
        <w:gridCol w:w="10224"/>
      </w:tblGrid>
      <w:tr>
        <w:tc>
          <w:tcPr>
            <w:tcW w:type="dxa" w:w="10224"/>
            <w:shd w:fill="FFFBEB"/>
            <w:tcBorders>
              <w:top w:val="single" w:sz="8" w:space="0" w:color="D97706"/>
              <w:left w:val="single" w:sz="8" w:space="0" w:color="D97706"/>
              <w:bottom w:val="single" w:sz="8" w:space="0" w:color="D97706"/>
              <w:right w:val="single" w:sz="8" w:space="0" w:color="D97706"/>
            </w:tcBorders>
            <w:tcMar>
              <w:top w:w="160" w:type="dxa"/>
              <w:start w:w="180" w:type="dxa"/>
              <w:bottom w:w="160" w:type="dxa"/>
              <w:end w:w="180" w:type="dxa"/>
            </w:tcMar>
          </w:tcPr>
          <w:p>
            <w:pPr>
              <w:pStyle w:val="CalloutTitle"/>
            </w:pPr>
            <w:r>
              <w:rPr>
                <w:b/>
              </w:rPr>
              <w:t>Final Scores</w:t>
            </w:r>
          </w:p>
          <w:p>
            <w:pPr>
              <w:pStyle w:val="CalloutBody"/>
            </w:pPr>
            <w:r>
              <w:t>Overall POC Score: 8/10. Production Readiness Score: 4/10. Closure Recommendation: close Phase 2 as a successful POC and redesign architecture for Phase 3.</w:t>
            </w:r>
          </w:p>
        </w:tc>
      </w:tr>
    </w:tbl>
    <w:p>
      <w:pPr>
        <w:pStyle w:val="Heading1"/>
      </w:pPr>
      <w:r>
        <w:t>24. Final Summary</w:t>
      </w:r>
    </w:p>
    <w:p>
      <w:r>
        <w:t>Phase 2 achieved its purpose. It proved that a private, local-first RFP automation workflow is technically possible. It demonstrated local upload, local parsing, local embeddings, local retrieval, private chat, local draft generation, DOCX export, audit logging, usage tracking, and MCP-style tool access.</w:t>
      </w:r>
    </w:p>
    <w:p>
      <w:r>
        <w:t>However, it also proved that the current local model and CPU-bound architecture cannot scale to production. Llama 3.2 3B was the right choice for a local feasibility test, but it is not the right model for enterprise-grade RFP proposal generation at production scale.</w:t>
      </w:r>
    </w:p>
    <w:p>
      <w:r>
        <w:t>The project should now move into a new architecture phase focused on stronger model strategy, private server or hybrid inference, workflow orchestration, evaluator loops, company evidence repositories, human approval gates, production database design, and deployment hardening.</w:t>
      </w:r>
    </w:p>
    <w:tbl>
      <w:tblPr>
        <w:tblW w:type="auto" w:w="0"/>
        <w:jc w:val="center"/>
        <w:tblLayout w:type="autofit"/>
        <w:tblLook w:firstColumn="1" w:firstRow="1" w:lastColumn="0" w:lastRow="0" w:noHBand="0" w:noVBand="1" w:val="04A0"/>
      </w:tblPr>
      <w:tblGrid>
        <w:gridCol w:w="10224"/>
      </w:tblGrid>
      <w:tr>
        <w:tc>
          <w:tcPr>
            <w:tcW w:type="dxa" w:w="10224"/>
            <w:shd w:fill="EEF2FF"/>
            <w:tcBorders>
              <w:top w:val="single" w:sz="8" w:space="0" w:color="4F46E5"/>
              <w:left w:val="single" w:sz="8" w:space="0" w:color="4F46E5"/>
              <w:bottom w:val="single" w:sz="8" w:space="0" w:color="4F46E5"/>
              <w:right w:val="single" w:sz="8" w:space="0" w:color="4F46E5"/>
            </w:tcBorders>
            <w:tcMar>
              <w:top w:w="160" w:type="dxa"/>
              <w:start w:w="180" w:type="dxa"/>
              <w:bottom w:w="160" w:type="dxa"/>
              <w:end w:w="180" w:type="dxa"/>
            </w:tcMar>
          </w:tcPr>
          <w:p>
            <w:pPr>
              <w:pStyle w:val="CalloutTitle"/>
            </w:pPr>
            <w:r>
              <w:rPr>
                <w:b/>
              </w:rPr>
              <w:t>Closing Note</w:t>
            </w:r>
          </w:p>
          <w:p>
            <w:pPr>
              <w:pStyle w:val="CalloutBody"/>
            </w:pPr>
            <w:r>
              <w:t>Phase 2 should be documented, committed, and archived as a successful proof-of-concept foundation. The next version should be built from these learnings, not by scaling the current implementation directly.</w:t>
            </w:r>
          </w:p>
        </w:tc>
      </w:tr>
    </w:tbl>
    <w:p>
      <w:pPr>
        <w:pStyle w:val="Heading1"/>
      </w:pPr>
      <w:r>
        <w:rPr>
          <w:color w:val="312E81"/>
        </w:rPr>
        <w:t>Appendix A. Immediate Next Actions</w:t>
      </w:r>
    </w:p>
    <w:p>
      <w:r>
        <w:t>Use this checklist to close the Phase 2 repository cleanly and prepare for Phase 3 architecture work.</w:t>
      </w:r>
    </w:p>
    <w:tbl>
      <w:tblPr>
        <w:tblW w:type="auto" w:w="0"/>
        <w:jc w:val="center"/>
        <w:tblLook w:firstColumn="1" w:firstRow="1" w:lastColumn="0" w:lastRow="0" w:noHBand="0" w:noVBand="1" w:val="04A0"/>
      </w:tblPr>
      <w:tblGrid>
        <w:gridCol w:w="3408"/>
        <w:gridCol w:w="3408"/>
        <w:gridCol w:w="3408"/>
      </w:tblGrid>
      <w:tr>
        <w:tc>
          <w:tcPr>
            <w:tcW w:type="dxa" w:w="3408"/>
            <w:shd w:fill="312E81"/>
            <w:tcBorders>
              <w:top w:val="single" w:sz="4" w:space="0" w:color="312E81"/>
              <w:left w:val="single" w:sz="4" w:space="0" w:color="312E81"/>
              <w:bottom w:val="single" w:sz="4" w:space="0" w:color="312E81"/>
              <w:right w:val="single" w:sz="4" w:space="0" w:color="312E81"/>
            </w:tcBorders>
            <w:tcMar>
              <w:top w:w="90" w:type="dxa"/>
              <w:start w:w="120" w:type="dxa"/>
              <w:bottom w:w="90" w:type="dxa"/>
              <w:end w:w="120" w:type="dxa"/>
            </w:tcMar>
          </w:tcPr>
          <w:p>
            <w:r>
              <w:rPr>
                <w:b/>
                <w:color w:val="FFFFFF"/>
                <w:sz w:val="17"/>
              </w:rPr>
              <w:t>Priority</w:t>
            </w:r>
          </w:p>
        </w:tc>
        <w:tc>
          <w:tcPr>
            <w:tcW w:type="dxa" w:w="3408"/>
            <w:shd w:fill="312E81"/>
            <w:tcBorders>
              <w:top w:val="single" w:sz="4" w:space="0" w:color="312E81"/>
              <w:left w:val="single" w:sz="4" w:space="0" w:color="312E81"/>
              <w:bottom w:val="single" w:sz="4" w:space="0" w:color="312E81"/>
              <w:right w:val="single" w:sz="4" w:space="0" w:color="312E81"/>
            </w:tcBorders>
            <w:tcMar>
              <w:top w:w="90" w:type="dxa"/>
              <w:start w:w="120" w:type="dxa"/>
              <w:bottom w:w="90" w:type="dxa"/>
              <w:end w:w="120" w:type="dxa"/>
            </w:tcMar>
          </w:tcPr>
          <w:p>
            <w:r>
              <w:rPr>
                <w:b/>
                <w:color w:val="FFFFFF"/>
                <w:sz w:val="17"/>
              </w:rPr>
              <w:t>Action</w:t>
            </w:r>
          </w:p>
        </w:tc>
        <w:tc>
          <w:tcPr>
            <w:tcW w:type="dxa" w:w="3408"/>
            <w:shd w:fill="312E81"/>
            <w:tcBorders>
              <w:top w:val="single" w:sz="4" w:space="0" w:color="312E81"/>
              <w:left w:val="single" w:sz="4" w:space="0" w:color="312E81"/>
              <w:bottom w:val="single" w:sz="4" w:space="0" w:color="312E81"/>
              <w:right w:val="single" w:sz="4" w:space="0" w:color="312E81"/>
            </w:tcBorders>
            <w:tcMar>
              <w:top w:w="90" w:type="dxa"/>
              <w:start w:w="120" w:type="dxa"/>
              <w:bottom w:w="90" w:type="dxa"/>
              <w:end w:w="120" w:type="dxa"/>
            </w:tcMar>
          </w:tcPr>
          <w:p>
            <w:r>
              <w:rPr>
                <w:b/>
                <w:color w:val="FFFFFF"/>
                <w:sz w:val="17"/>
              </w:rPr>
              <w:t>Owner / Outcome</w:t>
            </w:r>
          </w:p>
        </w:tc>
      </w:tr>
      <w:tr>
        <w:tc>
          <w:tcPr>
            <w:tcW w:type="dxa" w:w="340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High</w:t>
            </w:r>
          </w:p>
        </w:tc>
        <w:tc>
          <w:tcPr>
            <w:tcW w:type="dxa" w:w="340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Remove live SQLite DB and runtime files from Git tracking.</w:t>
            </w:r>
          </w:p>
        </w:tc>
        <w:tc>
          <w:tcPr>
            <w:tcW w:type="dxa" w:w="340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Clean public repository and avoid leaking local records.</w:t>
            </w:r>
          </w:p>
        </w:tc>
      </w:tr>
      <w:tr>
        <w:tc>
          <w:tcPr>
            <w:tcW w:type="dxa" w:w="340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High</w:t>
            </w:r>
          </w:p>
        </w:tc>
        <w:tc>
          <w:tcPr>
            <w:tcW w:type="dxa" w:w="340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Commit this closure document under docs and link it from README.</w:t>
            </w:r>
          </w:p>
        </w:tc>
        <w:tc>
          <w:tcPr>
            <w:tcW w:type="dxa" w:w="340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Make Phase 2 closure explicit for future reviewers.</w:t>
            </w:r>
          </w:p>
        </w:tc>
      </w:tr>
      <w:tr>
        <w:tc>
          <w:tcPr>
            <w:tcW w:type="dxa" w:w="340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High</w:t>
            </w:r>
          </w:p>
        </w:tc>
        <w:tc>
          <w:tcPr>
            <w:tcW w:type="dxa" w:w="340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Create a Phase 3 planning branch or new repository.</w:t>
            </w:r>
          </w:p>
        </w:tc>
        <w:tc>
          <w:tcPr>
            <w:tcW w:type="dxa" w:w="340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Avoid extending the POC architecture directly.</w:t>
            </w:r>
          </w:p>
        </w:tc>
      </w:tr>
      <w:tr>
        <w:tc>
          <w:tcPr>
            <w:tcW w:type="dxa" w:w="340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Medium</w:t>
            </w:r>
          </w:p>
        </w:tc>
        <w:tc>
          <w:tcPr>
            <w:tcW w:type="dxa" w:w="340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Create GitHub issues for Phase 3 model strategy, orchestration, evidence repository, and production database.</w:t>
            </w:r>
          </w:p>
        </w:tc>
        <w:tc>
          <w:tcPr>
            <w:tcW w:type="dxa" w:w="340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Convert learnings into actionable backlog items.</w:t>
            </w:r>
          </w:p>
        </w:tc>
      </w:tr>
      <w:tr>
        <w:tc>
          <w:tcPr>
            <w:tcW w:type="dxa" w:w="340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Medium</w:t>
            </w:r>
          </w:p>
        </w:tc>
        <w:tc>
          <w:tcPr>
            <w:tcW w:type="dxa" w:w="340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Keep a demo dataset with synthetic RFP content only.</w:t>
            </w:r>
          </w:p>
        </w:tc>
        <w:tc>
          <w:tcPr>
            <w:tcW w:type="dxa" w:w="3408"/>
            <w:shd w:fill="FFFFFF"/>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Enable reproducible demos without sensitive data.</w:t>
            </w:r>
          </w:p>
        </w:tc>
      </w:tr>
      <w:tr>
        <w:tc>
          <w:tcPr>
            <w:tcW w:type="dxa" w:w="340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Medium</w:t>
            </w:r>
          </w:p>
        </w:tc>
        <w:tc>
          <w:tcPr>
            <w:tcW w:type="dxa" w:w="340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Archive Phase 2 as POC v2.0 and tag the final commit.</w:t>
            </w:r>
          </w:p>
        </w:tc>
        <w:tc>
          <w:tcPr>
            <w:tcW w:type="dxa" w:w="3408"/>
            <w:shd w:fill="F8FAFC"/>
            <w:tcBorders>
              <w:top w:val="single" w:sz="4" w:space="0" w:color="E2E8F0"/>
              <w:left w:val="single" w:sz="4" w:space="0" w:color="E2E8F0"/>
              <w:bottom w:val="single" w:sz="4" w:space="0" w:color="E2E8F0"/>
              <w:right w:val="single" w:sz="4" w:space="0" w:color="E2E8F0"/>
            </w:tcBorders>
            <w:tcMar>
              <w:top w:w="90" w:type="dxa"/>
              <w:start w:w="120" w:type="dxa"/>
              <w:bottom w:w="90" w:type="dxa"/>
              <w:end w:w="120" w:type="dxa"/>
            </w:tcMar>
            <w:vAlign w:val="center"/>
          </w:tcPr>
          <w:p>
            <w:r>
              <w:rPr>
                <w:color w:val="1F2937"/>
                <w:sz w:val="16"/>
              </w:rPr>
              <w:t>Create a stable reference point before redesign.</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space="0" w:color="4F46E5"/>
              <w:left w:val="single" w:sz="8" w:space="0" w:color="4F46E5"/>
              <w:bottom w:val="single" w:sz="8" w:space="0" w:color="4F46E5"/>
              <w:right w:val="single" w:sz="8" w:space="0" w:color="4F46E5"/>
            </w:tcBorders>
            <w:tcMar>
              <w:top w:w="150" w:type="dxa"/>
              <w:start w:w="160" w:type="dxa"/>
              <w:bottom w:w="150" w:type="dxa"/>
              <w:end w:w="160" w:type="dxa"/>
            </w:tcMar>
          </w:tcPr>
          <w:p>
            <w:r>
              <w:rPr>
                <w:b/>
                <w:color w:val="312E81"/>
                <w:sz w:val="21"/>
              </w:rPr>
              <w:t>Recommended Closing Message</w:t>
            </w:r>
          </w:p>
          <w:p>
            <w:r>
              <w:rPr>
                <w:color w:val="1F2937"/>
                <w:sz w:val="18"/>
              </w:rPr>
              <w:t>Phase 2 proved that a local-first private RFP workflow is feasible. It should now be archived as a successful POC. Phase 3 should redesign the architecture for scalable orchestration, stronger model routing, private server inference, evaluator loops, and enterprise deployment readiness.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Confidential POC Closure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Private RFP Tool | Phase 2 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eastAsia="Liberation Sans"/>
      <w:b/>
      <w:bCs/>
      <w:color w:val="312E81"/>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eastAsia="Liberation Sans"/>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eastAsia="Liberation Sans"/>
      <w:b/>
      <w:color w:val="312E8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Liberation Sans" w:hAnsi="Liberation Sans" w:eastAsia="Liberation Sans"/>
      <w:b w:val="0"/>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Liberation Sans" w:hAnsi="Liberation Sans" w:eastAsia="Liberation Sans"/>
      <w:b w:val="0"/>
      <w:bCs/>
      <w:color w:val="64748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80"/>
    </w:pPr>
    <w:rPr>
      <w:rFonts w:ascii="Liberation Sans" w:hAnsi="Liberation Sans" w:eastAsia="Liberation Sans"/>
      <w:b w:val="0"/>
      <w:color w:val="64748B"/>
      <w:sz w:val="16"/>
    </w:rPr>
  </w:style>
  <w:style w:type="paragraph" w:customStyle="1" w:styleId="CalloutTitle">
    <w:name w:val="Callout Title"/>
    <w:pPr>
      <w:spacing w:after="80"/>
    </w:pPr>
    <w:rPr>
      <w:rFonts w:ascii="Liberation Sans" w:hAnsi="Liberation Sans" w:eastAsia="Liberation Sans"/>
      <w:b/>
      <w:color w:val="312E81"/>
      <w:sz w:val="22"/>
    </w:rPr>
  </w:style>
  <w:style w:type="paragraph" w:customStyle="1" w:styleId="CalloutBody">
    <w:name w:val="Callout Body"/>
    <w:pPr>
      <w:spacing w:after="80"/>
    </w:pPr>
    <w:rPr>
      <w:rFonts w:ascii="Liberation Sans" w:hAnsi="Liberation Sans" w:eastAsia="Liberation Sans"/>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RFP Tool Phase 2 Closure Document</dc:title>
  <dc:subject>Local-first RFP Automation POC Closure</dc:subject>
  <dc:creator/>
  <cp:keywords>RFP, POC, local AI, Ollama, architecture, closure</cp:keywords>
  <dc:description>generated by python-docx</dc:description>
  <cp:lastModifiedBy/>
  <cp:revision>1</cp:revision>
  <dcterms:created xsi:type="dcterms:W3CDTF">2013-12-23T23:15:00Z</dcterms:created>
  <dcterms:modified xsi:type="dcterms:W3CDTF">2013-12-23T23:15:00Z</dcterms:modified>
  <cp:category/>
</cp:coreProperties>
</file>