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440"/>
              <w:left w:type="dxa" w:w="440"/>
              <w:bottom w:type="dxa" w:w="440"/>
              <w:right w:type="dxa" w:w="440"/>
            </w:tcMar>
          </w:tcPr>
          <w:p>
            <w:pPr>
              <w:spacing w:before="0" w:after="100"/>
            </w:pPr>
            <w:r>
              <w:rPr>
                <w:rFonts w:ascii="Arial" w:cs="Arial" w:eastAsia="Arial" w:hAnsi="Arial"/>
                <w:b/>
                <w:bCs/>
                <w:color w:val="C8902A"/>
                <w:spacing w:val="80"/>
                <w:sz w:val="18"/>
                <w:szCs w:val="18"/>
              </w:rPr>
              <w:t xml:space="preserve">USE CASE DOCUMENT</w:t>
            </w:r>
          </w:p>
          <w:p>
            <w:pPr>
              <w:spacing w:before="0" w:after="120"/>
            </w:pPr>
            <w:r>
              <w:rPr>
                <w:rFonts w:ascii="Arial" w:cs="Arial" w:eastAsia="Arial" w:hAnsi="Arial"/>
                <w:b/>
                <w:bCs/>
                <w:color w:val="FFFFFF"/>
                <w:sz w:val="48"/>
                <w:szCs w:val="48"/>
              </w:rPr>
              <w:t xml:space="preserve">Insurance Premium &amp; Payout KPI Dashboard</w:t>
            </w:r>
          </w:p>
          <w:p>
            <w:pPr>
              <w:spacing w:before="0" w:after="0"/>
            </w:pPr>
            <w:r>
              <w:rPr>
                <w:rFonts w:ascii="Arial" w:cs="Arial" w:eastAsia="Arial" w:hAnsi="Arial"/>
                <w:color w:val="A8B8CC"/>
                <w:sz w:val="24"/>
                <w:szCs w:val="24"/>
              </w:rPr>
              <w:t xml:space="preserve">TruSecure CreDebit Insurance  —  RPT-002</w:t>
            </w:r>
          </w:p>
        </w:tc>
      </w:tr>
    </w:tbl>
    <w:p>
      <w:pPr>
        <w:spacing w:before="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color w:val="7A849A"/>
                <w:sz w:val="16"/>
                <w:szCs w:val="16"/>
              </w:rPr>
              <w:t xml:space="preserve">Client</w:t>
            </w:r>
          </w:p>
          <w:p>
            <w:pPr>
              <w:spacing w:before="0" w:after="0"/>
            </w:pPr>
            <w:r>
              <w:rPr>
                <w:rFonts w:ascii="Arial" w:cs="Arial" w:eastAsia="Arial" w:hAnsi="Arial"/>
                <w:b/>
                <w:bCs/>
                <w:color w:val="1B2A4A"/>
                <w:sz w:val="19"/>
                <w:szCs w:val="19"/>
              </w:rPr>
              <w:t xml:space="preserve">TruSecure CreDebit Insurance</w:t>
            </w:r>
          </w:p>
        </w:tc>
        <w:tc>
          <w:tcPr>
            <w:tcW w:type="dxa" w:w="252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color w:val="7A849A"/>
                <w:sz w:val="16"/>
                <w:szCs w:val="16"/>
              </w:rPr>
              <w:t xml:space="preserve">Requested By</w:t>
            </w:r>
          </w:p>
          <w:p>
            <w:pPr>
              <w:spacing w:before="0" w:after="0"/>
            </w:pPr>
            <w:r>
              <w:rPr>
                <w:rFonts w:ascii="Arial" w:cs="Arial" w:eastAsia="Arial" w:hAnsi="Arial"/>
                <w:b/>
                <w:bCs/>
                <w:color w:val="1B2A4A"/>
                <w:sz w:val="19"/>
                <w:szCs w:val="19"/>
              </w:rPr>
              <w:t xml:space="preserve">Sales &amp; Claims Leadership</w:t>
            </w:r>
          </w:p>
        </w:tc>
        <w:tc>
          <w:tcPr>
            <w:tcW w:type="dxa" w:w="252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color w:val="7A849A"/>
                <w:sz w:val="16"/>
                <w:szCs w:val="16"/>
              </w:rPr>
              <w:t xml:space="preserve">Data Range</w:t>
            </w:r>
          </w:p>
          <w:p>
            <w:pPr>
              <w:spacing w:before="0" w:after="0"/>
            </w:pPr>
            <w:r>
              <w:rPr>
                <w:rFonts w:ascii="Arial" w:cs="Arial" w:eastAsia="Arial" w:hAnsi="Arial"/>
                <w:b/>
                <w:bCs/>
                <w:color w:val="1B2A4A"/>
                <w:sz w:val="19"/>
                <w:szCs w:val="19"/>
              </w:rPr>
              <w:t xml:space="preserve">2015 – 2025</w:t>
            </w:r>
          </w:p>
        </w:tc>
        <w:tc>
          <w:tcPr>
            <w:tcW w:type="dxa" w:w="252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color w:val="7A849A"/>
                <w:sz w:val="16"/>
                <w:szCs w:val="16"/>
              </w:rPr>
              <w:t xml:space="preserve">Doc ID</w:t>
            </w:r>
          </w:p>
          <w:p>
            <w:pPr>
              <w:spacing w:before="0" w:after="0"/>
            </w:pPr>
            <w:r>
              <w:rPr>
                <w:rFonts w:ascii="Arial" w:cs="Arial" w:eastAsia="Arial" w:hAnsi="Arial"/>
                <w:b/>
                <w:bCs/>
                <w:color w:val="1B2A4A"/>
                <w:sz w:val="19"/>
                <w:szCs w:val="19"/>
              </w:rPr>
              <w:t xml:space="preserve">RPT-002</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6</w:t>
            </w:r>
          </w:p>
          <w:p>
            <w:pPr>
              <w:spacing w:before="0" w:after="0"/>
              <w:jc w:val="center"/>
            </w:pPr>
            <w:r>
              <w:rPr>
                <w:rFonts w:ascii="Arial" w:cs="Arial" w:eastAsia="Arial" w:hAnsi="Arial"/>
                <w:color w:val="7A849A"/>
                <w:sz w:val="16"/>
                <w:szCs w:val="16"/>
              </w:rPr>
              <w:t xml:space="preserve">Data Tables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22</w:t>
            </w:r>
          </w:p>
          <w:p>
            <w:pPr>
              <w:spacing w:before="0" w:after="0"/>
              <w:jc w:val="center"/>
            </w:pPr>
            <w:r>
              <w:rPr>
                <w:rFonts w:ascii="Arial" w:cs="Arial" w:eastAsia="Arial" w:hAnsi="Arial"/>
                <w:color w:val="7A849A"/>
                <w:sz w:val="16"/>
                <w:szCs w:val="16"/>
              </w:rPr>
              <w:t xml:space="preserve">Policy Columns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6</w:t>
            </w:r>
          </w:p>
          <w:p>
            <w:pPr>
              <w:spacing w:before="0" w:after="0"/>
              <w:jc w:val="center"/>
            </w:pPr>
            <w:r>
              <w:rPr>
                <w:rFonts w:ascii="Arial" w:cs="Arial" w:eastAsia="Arial" w:hAnsi="Arial"/>
                <w:color w:val="7A849A"/>
                <w:sz w:val="16"/>
                <w:szCs w:val="16"/>
              </w:rPr>
              <w:t xml:space="preserve">Business Goals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3</w:t>
            </w:r>
          </w:p>
          <w:p>
            <w:pPr>
              <w:spacing w:before="0" w:after="0"/>
              <w:jc w:val="center"/>
            </w:pPr>
            <w:r>
              <w:rPr>
                <w:rFonts w:ascii="Arial" w:cs="Arial" w:eastAsia="Arial" w:hAnsi="Arial"/>
                <w:color w:val="7A849A"/>
                <w:sz w:val="16"/>
                <w:szCs w:val="16"/>
              </w:rPr>
              <w:t xml:space="preserve">User Personas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Daily</w:t>
            </w:r>
          </w:p>
          <w:p>
            <w:pPr>
              <w:spacing w:before="0" w:after="0"/>
              <w:jc w:val="center"/>
            </w:pPr>
            <w:r>
              <w:rPr>
                <w:rFonts w:ascii="Arial" w:cs="Arial" w:eastAsia="Arial" w:hAnsi="Arial"/>
                <w:color w:val="7A849A"/>
                <w:sz w:val="16"/>
                <w:szCs w:val="16"/>
              </w:rPr>
              <w:t xml:space="preserve">Auto Refresh</w:t>
            </w:r>
          </w:p>
        </w:tc>
      </w:tr>
    </w:tbl>
    <w:p>
      <w:pPr>
        <w:spacing w:before="0" w:after="320"/>
      </w:pPr>
    </w:p>
    <w:p>
      <w:pPr>
        <w:pBdr>
          <w:bottom w:val="single" w:color="C8902A" w:sz="4" w:space="4"/>
        </w:pBdr>
        <w:spacing w:before="480" w:after="160"/>
      </w:pPr>
      <w:r>
        <w:rPr>
          <w:rFonts w:ascii="Arial" w:cs="Arial" w:eastAsia="Arial" w:hAnsi="Arial"/>
          <w:b/>
          <w:bCs/>
          <w:color w:val="1B2A4A"/>
          <w:sz w:val="36"/>
          <w:szCs w:val="36"/>
        </w:rPr>
        <w:t xml:space="preserve">1.  Project Overview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6"/>
              <w:left w:val="single" w:color="D0D5E0" w:sz="1"/>
              <w:bottom w:val="single" w:color="D0D5E0" w:sz="1"/>
              <w:right w:val="single" w:color="D0D5E0" w:sz="1"/>
            </w:tcBorders>
            <w:shd w:fill="FDF6E8" w:val="clear"/>
            <w:tcMar>
              <w:top w:type="dxa" w:w="160"/>
              <w:left w:type="dxa" w:w="220"/>
              <w:bottom w:type="dxa" w:w="160"/>
              <w:right w:type="dxa" w:w="220"/>
            </w:tcMar>
          </w:tcPr>
          <w:p>
            <w:pPr>
              <w:spacing w:before="0" w:after="80"/>
            </w:pPr>
            <w:r>
              <w:rPr>
                <w:rFonts w:ascii="Arial" w:cs="Arial" w:eastAsia="Arial" w:hAnsi="Arial"/>
                <w:b/>
                <w:bCs/>
                <w:color w:val="C8902A"/>
                <w:sz w:val="21"/>
                <w:szCs w:val="21"/>
              </w:rPr>
              <w:t xml:space="preserve">About TruSecure CreDebit Insurance</w:t>
            </w:r>
          </w:p>
          <w:p>
            <w:pPr>
              <w:spacing w:before="0" w:after="0"/>
              <w:jc w:val="both"/>
            </w:pPr>
            <w:r>
              <w:rPr>
                <w:rFonts w:ascii="Arial" w:cs="Arial" w:eastAsia="Arial" w:hAnsi="Arial"/>
                <w:color w:val="4A5568"/>
                <w:sz w:val="20"/>
                <w:szCs w:val="20"/>
              </w:rPr>
              <w:t xml:space="preserve">TruSecure CreDebit Insurance provides innovative protection plans for individuals and businesses, offering credit and debit-linked coverage. With a focus on trust, transparency, and technology, the company delivers affordable premiums, quick claim settlements, and personalised policies to ensure financial security.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6"/>
              <w:left w:val="single" w:color="D0D5E0" w:sz="1"/>
              <w:bottom w:val="single" w:color="D0D5E0" w:sz="1"/>
              <w:right w:val="single" w:color="D0D5E0" w:sz="1"/>
            </w:tcBorders>
            <w:shd w:fill="EEF3FB" w:val="clear"/>
            <w:tcMar>
              <w:top w:type="dxa" w:w="160"/>
              <w:left w:type="dxa" w:w="220"/>
              <w:bottom w:type="dxa" w:w="160"/>
              <w:right w:type="dxa" w:w="220"/>
            </w:tcMar>
          </w:tcPr>
          <w:p>
            <w:pPr>
              <w:spacing w:before="0" w:after="80"/>
            </w:pPr>
            <w:r>
              <w:rPr>
                <w:rFonts w:ascii="Arial" w:cs="Arial" w:eastAsia="Arial" w:hAnsi="Arial"/>
                <w:b/>
                <w:bCs/>
                <w:color w:val="1F5EAA"/>
                <w:sz w:val="21"/>
                <w:szCs w:val="21"/>
              </w:rPr>
              <w:t xml:space="preserve">Business Problem</w:t>
            </w:r>
          </w:p>
          <w:p>
            <w:pPr>
              <w:spacing w:before="0" w:after="0"/>
              <w:jc w:val="both"/>
            </w:pPr>
            <w:r>
              <w:rPr>
                <w:rFonts w:ascii="Arial" w:cs="Arial" w:eastAsia="Arial" w:hAnsi="Arial"/>
                <w:color w:val="4A5568"/>
                <w:sz w:val="20"/>
                <w:szCs w:val="20"/>
              </w:rPr>
              <w:t xml:space="preserve">TruSecure had no unified view of its insurance policy portfolio spanning 2015 to 2025. Policy performance, claim settlement efficiency, maturity forecasting, and agent productivity data were scattered across disconnected systems. Leadership lacked a single dashboard to track the complete policy lifecycle — from creation and tenure through claims, loans, and maturity — making strategic decisions slow and error-prone.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6"/>
              <w:left w:val="single" w:color="D0D5E0" w:sz="1"/>
              <w:bottom w:val="single" w:color="D0D5E0" w:sz="1"/>
              <w:right w:val="single" w:color="D0D5E0" w:sz="1"/>
            </w:tcBorders>
            <w:shd w:fill="E8F5F3" w:val="clear"/>
            <w:tcMar>
              <w:top w:type="dxa" w:w="160"/>
              <w:left w:type="dxa" w:w="220"/>
              <w:bottom w:type="dxa" w:w="160"/>
              <w:right w:type="dxa" w:w="220"/>
            </w:tcMar>
          </w:tcPr>
          <w:p>
            <w:pPr>
              <w:spacing w:before="0" w:after="80"/>
            </w:pPr>
            <w:r>
              <w:rPr>
                <w:rFonts w:ascii="Arial" w:cs="Arial" w:eastAsia="Arial" w:hAnsi="Arial"/>
                <w:b/>
                <w:bCs/>
                <w:color w:val="1A7A6E"/>
                <w:sz w:val="21"/>
                <w:szCs w:val="21"/>
              </w:rPr>
              <w:t xml:space="preserve">Solution</w:t>
            </w:r>
          </w:p>
          <w:p>
            <w:pPr>
              <w:spacing w:before="0" w:after="0"/>
              <w:jc w:val="both"/>
            </w:pPr>
            <w:r>
              <w:rPr>
                <w:rFonts w:ascii="Arial" w:cs="Arial" w:eastAsia="Arial" w:hAnsi="Arial"/>
                <w:color w:val="4A5568"/>
                <w:sz w:val="20"/>
                <w:szCs w:val="20"/>
              </w:rPr>
              <w:t xml:space="preserve">An interactive Insurance Premium and Payout KPI Dashboard was built in Microsoft Power BI, consolidating data from six source tables into a star schema model. The dashboard covers the full policy lifecycle and delivers real-time insights on premium collection, claim performance, maturity forecasting, agent productivity, and loan exposure across all business units and regions.</w:t>
            </w:r>
          </w:p>
        </w:tc>
      </w:tr>
    </w:tbl>
    <w:p>
      <w:pPr>
        <w:spacing w:before="0" w:after="320"/>
      </w:pPr>
    </w:p>
    <w:p>
      <w:pPr>
        <w:pBdr>
          <w:bottom w:val="single" w:color="C8902A" w:sz="4" w:space="4"/>
        </w:pBdr>
        <w:spacing w:before="480" w:after="160"/>
      </w:pPr>
      <w:r>
        <w:rPr>
          <w:rFonts w:ascii="Arial" w:cs="Arial" w:eastAsia="Arial" w:hAnsi="Arial"/>
          <w:b/>
          <w:bCs/>
          <w:color w:val="1B2A4A"/>
          <w:sz w:val="36"/>
          <w:szCs w:val="36"/>
        </w:rPr>
        <w:t xml:space="preserve">2.  Business Goals</w:t>
      </w:r>
    </w:p>
    <w:p>
      <w:pPr>
        <w:spacing w:before="0" w:after="80"/>
      </w:pPr>
    </w:p>
    <w:p>
      <w:pPr>
        <w:spacing w:before="0" w:after="100"/>
        <w:jc w:val="both"/>
      </w:pPr>
      <w:r>
        <w:rPr>
          <w:rFonts w:ascii="Arial" w:cs="Arial" w:eastAsia="Arial" w:hAnsi="Arial"/>
          <w:color w:val="4A5568"/>
          <w:sz w:val="21"/>
          <w:szCs w:val="21"/>
        </w:rPr>
        <w:t xml:space="preserve">The dashboard was designed to achieve the following six strategic goals for TruSecure CreDebit Insurance: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7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Goal</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8"/>
                <w:szCs w:val="28"/>
              </w:rPr>
              <w:t xml:space="preserve">01</w:t>
            </w:r>
          </w:p>
        </w:tc>
        <w:tc>
          <w:tcPr>
            <w:tcW w:type="dxa" w:w="796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60"/>
            </w:tcMar>
          </w:tcPr>
          <w:p>
            <w:pPr>
              <w:jc w:val="both"/>
            </w:pPr>
            <w:r>
              <w:rPr>
                <w:rFonts w:ascii="Arial" w:cs="Arial" w:eastAsia="Arial" w:hAnsi="Arial"/>
                <w:color w:val="4A5568"/>
                <w:sz w:val="20"/>
                <w:szCs w:val="20"/>
              </w:rPr>
              <w:t xml:space="preserve">Track how different insurance policy types are performing across various customer segments — including Term, Whole Life, ULIP, and Universal plans — to identify growth areas and underperformers.</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40"/>
              <w:bottom w:type="dxa" w:w="120"/>
              <w:right w:type="dxa" w:w="140"/>
            </w:tcMar>
            <w:vAlign w:val="center"/>
          </w:tcPr>
          <w:p>
            <w:pPr>
              <w:jc w:val="center"/>
            </w:pPr>
            <w:r>
              <w:rPr>
                <w:rFonts w:ascii="Arial" w:cs="Arial" w:eastAsia="Arial" w:hAnsi="Arial"/>
                <w:b/>
                <w:bCs/>
                <w:color w:val="C8902A"/>
                <w:sz w:val="28"/>
                <w:szCs w:val="28"/>
              </w:rPr>
              <w:t xml:space="preserve">02</w:t>
            </w:r>
          </w:p>
        </w:tc>
        <w:tc>
          <w:tcPr>
            <w:tcW w:type="dxa" w:w="796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60"/>
            </w:tcMar>
          </w:tcPr>
          <w:p>
            <w:pPr>
              <w:jc w:val="both"/>
            </w:pPr>
            <w:r>
              <w:rPr>
                <w:rFonts w:ascii="Arial" w:cs="Arial" w:eastAsia="Arial" w:hAnsi="Arial"/>
                <w:color w:val="4A5568"/>
                <w:sz w:val="20"/>
                <w:szCs w:val="20"/>
              </w:rPr>
              <w:t xml:space="preserve">Understand which business units and regions are performing well or underperforming, enabling leadership to allocate resources and redirect sales efforts with data-backed confidence.</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8"/>
                <w:szCs w:val="28"/>
              </w:rPr>
              <w:t xml:space="preserve">03</w:t>
            </w:r>
          </w:p>
        </w:tc>
        <w:tc>
          <w:tcPr>
            <w:tcW w:type="dxa" w:w="796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60"/>
            </w:tcMar>
          </w:tcPr>
          <w:p>
            <w:pPr>
              <w:jc w:val="both"/>
            </w:pPr>
            <w:r>
              <w:rPr>
                <w:rFonts w:ascii="Arial" w:cs="Arial" w:eastAsia="Arial" w:hAnsi="Arial"/>
                <w:color w:val="4A5568"/>
                <w:sz w:val="20"/>
                <w:szCs w:val="20"/>
              </w:rPr>
              <w:t xml:space="preserve">Identify top-performing policy plans and flag those with low customer uptake, supporting product strategy and helping the marketing team prioritise high-conversion offerings.</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40"/>
              <w:bottom w:type="dxa" w:w="120"/>
              <w:right w:type="dxa" w:w="140"/>
            </w:tcMar>
            <w:vAlign w:val="center"/>
          </w:tcPr>
          <w:p>
            <w:pPr>
              <w:jc w:val="center"/>
            </w:pPr>
            <w:r>
              <w:rPr>
                <w:rFonts w:ascii="Arial" w:cs="Arial" w:eastAsia="Arial" w:hAnsi="Arial"/>
                <w:b/>
                <w:bCs/>
                <w:color w:val="C8902A"/>
                <w:sz w:val="28"/>
                <w:szCs w:val="28"/>
              </w:rPr>
              <w:t xml:space="preserve">04</w:t>
            </w:r>
          </w:p>
        </w:tc>
        <w:tc>
          <w:tcPr>
            <w:tcW w:type="dxa" w:w="796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60"/>
            </w:tcMar>
          </w:tcPr>
          <w:p>
            <w:pPr>
              <w:jc w:val="both"/>
            </w:pPr>
            <w:r>
              <w:rPr>
                <w:rFonts w:ascii="Arial" w:cs="Arial" w:eastAsia="Arial" w:hAnsi="Arial"/>
                <w:color w:val="4A5568"/>
                <w:sz w:val="20"/>
                <w:szCs w:val="20"/>
              </w:rPr>
              <w:t xml:space="preserve">Monitor claim settlement performance and detect inefficiencies in the claims process, reducing resolution time and improving customer satisfaction.</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8"/>
                <w:szCs w:val="28"/>
              </w:rPr>
              <w:t xml:space="preserve">05</w:t>
            </w:r>
          </w:p>
        </w:tc>
        <w:tc>
          <w:tcPr>
            <w:tcW w:type="dxa" w:w="796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60"/>
            </w:tcMar>
          </w:tcPr>
          <w:p>
            <w:pPr>
              <w:jc w:val="both"/>
            </w:pPr>
            <w:r>
              <w:rPr>
                <w:rFonts w:ascii="Arial" w:cs="Arial" w:eastAsia="Arial" w:hAnsi="Arial"/>
                <w:color w:val="4A5568"/>
                <w:sz w:val="20"/>
                <w:szCs w:val="20"/>
              </w:rPr>
              <w:t xml:space="preserve">Improve accountability and performance visibility across the sales, claims, and loan servicing teams through shared, auditable KPIs in a single source of truth.</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40"/>
              <w:bottom w:type="dxa" w:w="120"/>
              <w:right w:type="dxa" w:w="140"/>
            </w:tcMar>
            <w:vAlign w:val="center"/>
          </w:tcPr>
          <w:p>
            <w:pPr>
              <w:jc w:val="center"/>
            </w:pPr>
            <w:r>
              <w:rPr>
                <w:rFonts w:ascii="Arial" w:cs="Arial" w:eastAsia="Arial" w:hAnsi="Arial"/>
                <w:b/>
                <w:bCs/>
                <w:color w:val="C8902A"/>
                <w:sz w:val="28"/>
                <w:szCs w:val="28"/>
              </w:rPr>
              <w:t xml:space="preserve">06</w:t>
            </w:r>
          </w:p>
        </w:tc>
        <w:tc>
          <w:tcPr>
            <w:tcW w:type="dxa" w:w="796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60"/>
            </w:tcMar>
          </w:tcPr>
          <w:p>
            <w:pPr>
              <w:jc w:val="both"/>
            </w:pPr>
            <w:r>
              <w:rPr>
                <w:rFonts w:ascii="Arial" w:cs="Arial" w:eastAsia="Arial" w:hAnsi="Arial"/>
                <w:color w:val="4A5568"/>
                <w:sz w:val="20"/>
                <w:szCs w:val="20"/>
              </w:rPr>
              <w:t xml:space="preserve">Automate the report refresh so stakeholders always see the latest data without manual intervention, replacing monthly Excel-based reporting cycles with daily automated updates.</w:t>
            </w:r>
          </w:p>
        </w:tc>
      </w:tr>
    </w:tbl>
    <w:p>
      <w:pPr>
        <w:spacing w:before="0" w:after="320"/>
      </w:pPr>
    </w:p>
    <w:p>
      <w:pPr>
        <w:pBdr>
          <w:bottom w:val="single" w:color="C8902A" w:sz="4" w:space="4"/>
        </w:pBdr>
        <w:spacing w:before="480" w:after="160"/>
      </w:pPr>
      <w:r>
        <w:rPr>
          <w:rFonts w:ascii="Arial" w:cs="Arial" w:eastAsia="Arial" w:hAnsi="Arial"/>
          <w:b/>
          <w:bCs/>
          <w:color w:val="1B2A4A"/>
          <w:sz w:val="36"/>
          <w:szCs w:val="36"/>
        </w:rPr>
        <w:t xml:space="preserve">3.  Project Scope</w:t>
      </w:r>
    </w:p>
    <w:p>
      <w:pPr>
        <w:spacing w:before="0" w:after="80"/>
      </w:pPr>
    </w:p>
    <w:p>
      <w:pPr>
        <w:spacing w:before="0" w:after="100"/>
        <w:jc w:val="both"/>
      </w:pPr>
      <w:r>
        <w:rPr>
          <w:rFonts w:ascii="Arial" w:cs="Arial" w:eastAsia="Arial" w:hAnsi="Arial"/>
          <w:color w:val="4A5568"/>
          <w:sz w:val="21"/>
          <w:szCs w:val="21"/>
        </w:rPr>
        <w:t xml:space="preserve">The following areas are included within the scope of this Power BI dashboard:</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Area</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Coverage</w:t>
            </w:r>
          </w:p>
        </w:tc>
      </w:tr>
      <w:tr>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Policy lifecycle analysis</w:t>
            </w:r>
          </w:p>
        </w:tc>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20"/>
                <w:szCs w:val="20"/>
              </w:rPr>
              <w:t xml:space="preserve">Full coverage from 2015 to 2025 across all policy types</w:t>
            </w:r>
          </w:p>
        </w:tc>
      </w:tr>
      <w:tr>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Premium tracking</w:t>
            </w:r>
          </w:p>
        </w:tc>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20"/>
                <w:szCs w:val="20"/>
              </w:rPr>
              <w:t xml:space="preserve">Premium amount, frequency, total payable, and collection status</w:t>
            </w:r>
          </w:p>
        </w:tc>
      </w:tr>
      <w:tr>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Claim performance monitoring</w:t>
            </w:r>
          </w:p>
        </w:tc>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20"/>
                <w:szCs w:val="20"/>
              </w:rPr>
              <w:t xml:space="preserve">Claim settlement rates, pending claims, and claim amounts by type</w:t>
            </w:r>
          </w:p>
        </w:tc>
      </w:tr>
      <w:tr>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Maturity &amp; payout forecasting</w:t>
            </w:r>
          </w:p>
        </w:tc>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20"/>
                <w:szCs w:val="20"/>
              </w:rPr>
              <w:t xml:space="preserve">Maturity amount and surrender value projections per policy</w:t>
            </w:r>
          </w:p>
        </w:tc>
      </w:tr>
      <w:tr>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Agent productivity dashboard</w:t>
            </w:r>
          </w:p>
        </w:tc>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20"/>
                <w:szCs w:val="20"/>
              </w:rPr>
              <w:t xml:space="preserve">Policies sold, premium collected, and regional breakdown per agent</w:t>
            </w:r>
          </w:p>
        </w:tc>
      </w:tr>
      <w:tr>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Customer segmentation</w:t>
            </w:r>
          </w:p>
        </w:tc>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20"/>
                <w:szCs w:val="20"/>
              </w:rPr>
              <w:t xml:space="preserve">Age, gender, occupation, smoker status, and state-level analysis</w:t>
            </w:r>
          </w:p>
        </w:tc>
      </w:tr>
      <w:tr>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Loan exposure tracking</w:t>
            </w:r>
          </w:p>
        </w:tc>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20"/>
                <w:szCs w:val="20"/>
              </w:rPr>
              <w:t xml:space="preserve">Loan-eligible policies, loan amounts allowed, and portfolio risk</w:t>
            </w:r>
          </w:p>
        </w:tc>
      </w:tr>
      <w:tr>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ULIP cash value monitoring</w:t>
            </w:r>
          </w:p>
        </w:tc>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20"/>
                <w:szCs w:val="20"/>
              </w:rPr>
              <w:t xml:space="preserve">Current cash value tracking and comparison against sum assured</w:t>
            </w:r>
          </w:p>
        </w:tc>
      </w:tr>
      <w:tr>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Region &amp; business unit analysis</w:t>
            </w:r>
          </w:p>
        </w:tc>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20"/>
                <w:szCs w:val="20"/>
              </w:rPr>
              <w:t xml:space="preserve">State-wise and agent-wise performance across all policy categories</w:t>
            </w:r>
          </w:p>
        </w:tc>
      </w:tr>
      <w:tr>
        <w:tc>
          <w:tcPr>
            <w:tcW w:type="dxa" w:w="468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Automated daily refresh</w:t>
            </w:r>
          </w:p>
        </w:tc>
        <w:tc>
          <w:tcPr>
            <w:tcW w:type="dxa" w:w="468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20"/>
                <w:szCs w:val="20"/>
              </w:rPr>
              <w:t xml:space="preserve">Power BI Service scheduled refresh replacing manual Excel cycles</w:t>
            </w:r>
          </w:p>
        </w:tc>
      </w:tr>
    </w:tbl>
    <w:p>
      <w:pPr>
        <w:spacing w:before="0" w:after="320"/>
      </w:pPr>
    </w:p>
    <w:p>
      <w:pPr>
        <w:pBdr>
          <w:bottom w:val="single" w:color="C8902A" w:sz="4" w:space="4"/>
        </w:pBdr>
        <w:spacing w:before="480" w:after="160"/>
      </w:pPr>
      <w:r>
        <w:rPr>
          <w:rFonts w:ascii="Arial" w:cs="Arial" w:eastAsia="Arial" w:hAnsi="Arial"/>
          <w:b/>
          <w:bCs/>
          <w:color w:val="1B2A4A"/>
          <w:sz w:val="36"/>
          <w:szCs w:val="36"/>
        </w:rPr>
        <w:t xml:space="preserve">4.  Target Audience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902A" w:sz="1"/>
              <w:left w:val="single" w:color="C8902A" w:sz="1"/>
              <w:bottom w:val="single" w:color="C8902A" w:sz="1"/>
              <w:right w:val="single" w:color="C8902A" w:sz="1"/>
            </w:tcBorders>
            <w:shd w:fill="FDF6E8" w:val="clear"/>
            <w:tcMar>
              <w:top w:type="dxa" w:w="200"/>
              <w:left w:type="dxa" w:w="200"/>
              <w:bottom w:type="dxa" w:w="200"/>
              <w:right w:type="dxa" w:w="200"/>
            </w:tcMar>
          </w:tcPr>
          <w:p>
            <w:pPr>
              <w:spacing w:before="0" w:after="100"/>
            </w:pPr>
            <w:r>
              <w:rPr>
                <w:rFonts w:ascii="Arial" w:cs="Arial" w:eastAsia="Arial" w:hAnsi="Arial"/>
                <w:b/>
                <w:bCs/>
                <w:color w:val="1B2A4A"/>
                <w:sz w:val="22"/>
                <w:szCs w:val="22"/>
              </w:rPr>
              <w:t xml:space="preserve">Sales Managers</w:t>
            </w:r>
          </w:p>
          <w:p>
            <w:pPr>
              <w:jc w:val="both"/>
            </w:pPr>
            <w:r>
              <w:rPr>
                <w:rFonts w:ascii="Arial" w:cs="Arial" w:eastAsia="Arial" w:hAnsi="Arial"/>
                <w:color w:val="4A5568"/>
                <w:sz w:val="20"/>
                <w:szCs w:val="20"/>
              </w:rPr>
              <w:t xml:space="preserve">Monitor agent performance, regional policy sales, and plan uptake. Use drill-through views to identify top and bottom performing agents and territories.</w:t>
            </w:r>
          </w:p>
        </w:tc>
        <w:tc>
          <w:tcPr>
            <w:tcW w:type="dxa" w:w="3120"/>
            <w:tcBorders>
              <w:top w:val="single" w:color="C8902A" w:sz="1"/>
              <w:left w:val="single" w:color="C8902A" w:sz="1"/>
              <w:bottom w:val="single" w:color="C8902A" w:sz="1"/>
              <w:right w:val="single" w:color="C8902A" w:sz="1"/>
            </w:tcBorders>
            <w:shd w:fill="FDF6E8" w:val="clear"/>
            <w:tcMar>
              <w:top w:type="dxa" w:w="200"/>
              <w:left w:type="dxa" w:w="200"/>
              <w:bottom w:type="dxa" w:w="200"/>
              <w:right w:type="dxa" w:w="200"/>
            </w:tcMar>
          </w:tcPr>
          <w:p>
            <w:pPr>
              <w:spacing w:before="0" w:after="100"/>
            </w:pPr>
            <w:r>
              <w:rPr>
                <w:rFonts w:ascii="Arial" w:cs="Arial" w:eastAsia="Arial" w:hAnsi="Arial"/>
                <w:b/>
                <w:bCs/>
                <w:color w:val="1B2A4A"/>
                <w:sz w:val="22"/>
                <w:szCs w:val="22"/>
              </w:rPr>
              <w:t xml:space="preserve">Claims &amp; Operations Team</w:t>
            </w:r>
          </w:p>
          <w:p>
            <w:pPr>
              <w:jc w:val="both"/>
            </w:pPr>
            <w:r>
              <w:rPr>
                <w:rFonts w:ascii="Arial" w:cs="Arial" w:eastAsia="Arial" w:hAnsi="Arial"/>
                <w:color w:val="4A5568"/>
                <w:sz w:val="20"/>
                <w:szCs w:val="20"/>
              </w:rPr>
              <w:t xml:space="preserve">Track claim settlement rates, detect processing bottlenecks, and monitor pending claims by policy type, region, and customer segment.</w:t>
            </w:r>
          </w:p>
        </w:tc>
        <w:tc>
          <w:tcPr>
            <w:tcW w:type="dxa" w:w="3120"/>
            <w:tcBorders>
              <w:top w:val="single" w:color="C8902A" w:sz="1"/>
              <w:left w:val="single" w:color="C8902A" w:sz="1"/>
              <w:bottom w:val="single" w:color="C8902A" w:sz="1"/>
              <w:right w:val="single" w:color="C8902A" w:sz="1"/>
            </w:tcBorders>
            <w:shd w:fill="FDF6E8" w:val="clear"/>
            <w:tcMar>
              <w:top w:type="dxa" w:w="200"/>
              <w:left w:type="dxa" w:w="200"/>
              <w:bottom w:type="dxa" w:w="200"/>
              <w:right w:type="dxa" w:w="200"/>
            </w:tcMar>
          </w:tcPr>
          <w:p>
            <w:pPr>
              <w:spacing w:before="0" w:after="100"/>
            </w:pPr>
            <w:r>
              <w:rPr>
                <w:rFonts w:ascii="Arial" w:cs="Arial" w:eastAsia="Arial" w:hAnsi="Arial"/>
                <w:b/>
                <w:bCs/>
                <w:color w:val="1B2A4A"/>
                <w:sz w:val="22"/>
                <w:szCs w:val="22"/>
              </w:rPr>
              <w:t xml:space="preserve">Finance &amp; Actuarial Team</w:t>
            </w:r>
          </w:p>
          <w:p>
            <w:pPr>
              <w:jc w:val="both"/>
            </w:pPr>
            <w:r>
              <w:rPr>
                <w:rFonts w:ascii="Arial" w:cs="Arial" w:eastAsia="Arial" w:hAnsi="Arial"/>
                <w:color w:val="4A5568"/>
                <w:sz w:val="20"/>
                <w:szCs w:val="20"/>
              </w:rPr>
              <w:t xml:space="preserve">Analyse premium collection, maturity payouts, surrender values, ULIP cash values, and underwriting expenses to support financial planning and risk assessment.</w:t>
            </w:r>
          </w:p>
        </w:tc>
      </w:tr>
    </w:tbl>
    <w:p>
      <w:pPr>
        <w:spacing w:before="0" w:after="320"/>
      </w:pPr>
    </w:p>
    <w:p>
      <w:pPr>
        <w:pBdr>
          <w:bottom w:val="single" w:color="C8902A" w:sz="4" w:space="4"/>
        </w:pBdr>
        <w:spacing w:before="480" w:after="160"/>
      </w:pPr>
      <w:r>
        <w:rPr>
          <w:rFonts w:ascii="Arial" w:cs="Arial" w:eastAsia="Arial" w:hAnsi="Arial"/>
          <w:b/>
          <w:bCs/>
          <w:color w:val="1B2A4A"/>
          <w:sz w:val="36"/>
          <w:szCs w:val="36"/>
        </w:rPr>
        <w:t xml:space="preserve">5.  Data Model</w:t>
      </w:r>
    </w:p>
    <w:p>
      <w:pPr>
        <w:spacing w:before="0" w:after="80"/>
      </w:pPr>
    </w:p>
    <w:p>
      <w:pPr>
        <w:spacing w:before="0" w:after="100"/>
        <w:jc w:val="both"/>
      </w:pPr>
      <w:r>
        <w:rPr>
          <w:rFonts w:ascii="Arial" w:cs="Arial" w:eastAsia="Arial" w:hAnsi="Arial"/>
          <w:color w:val="4A5568"/>
          <w:sz w:val="21"/>
          <w:szCs w:val="21"/>
        </w:rPr>
        <w:t xml:space="preserve">The dashboard is built on a star schema comprising one Fact table (Insurance Policy) and five Dimension tables. All tables are linked via foreign key relationships.</w:t>
      </w:r>
    </w:p>
    <w:p>
      <w:pPr>
        <w:spacing w:before="0" w:after="200"/>
      </w:pPr>
    </w:p>
    <w:p>
      <w:pPr>
        <w:spacing w:before="280" w:after="100"/>
      </w:pPr>
      <w:r>
        <w:rPr>
          <w:rFonts w:ascii="Arial" w:cs="Arial" w:eastAsia="Arial" w:hAnsi="Arial"/>
          <w:b/>
          <w:bCs/>
          <w:color w:val="1B2A4A"/>
          <w:sz w:val="26"/>
          <w:szCs w:val="26"/>
        </w:rPr>
        <w:t xml:space="preserve">5.1  Insurance Policy Table  (Fact Table)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60"/>
        <w:gridCol w:w="5200"/>
      </w:tblGrid>
      <w:tr>
        <w:trPr>
          <w:tblHeader/>
        </w:trPr>
        <w:tc>
          <w:tcPr>
            <w:tcW w:type="dxa" w:w="2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Policy Number</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PK · 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Unique identifier for each insurance policy</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Customer ID</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FK · 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Links to the Customer Detail dimension table</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Sales Agent Code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FK · 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Links to the Sales Agent dimension table</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Policy Type Code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FK · 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Links to the Policy Type dimension table</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Policy Code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FK · 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Links to the Policy Name dimension table</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Claim ID</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FK · 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Unique identifier for the claim associated with this policy</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Policy Status</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Current status — Active, Lapsed, Closed, etc.</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Start Date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DATE</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Date on which the policy was initiated</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Last Paid Date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DATE</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The most recent premium payment date</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Date of Purchase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DATE</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Date the customer purchased the policy</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Policy Anniversary Date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DATE</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Annual renewal date of the policy</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Tenure (Years)</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INTEGER</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Total duration of the policy in years</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Sum Assured / Coverage Amount</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Guaranteed coverage amount offered by the policy</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Premium Amount</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Recurring premium the customer must pay</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Payment Frequency</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How premiums are paid — Annually, Quarterly, Monthly, etc.</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Total Premium to be Paid</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Total premium outflow across the entire policy tenure</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Maturity Amount</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Amount receivable at end of policy term (if applicable)</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Surrender Value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Value receivable if policy is discontinued before maturity</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Cash Value (ULIP)</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Current cash value of a ULIP policy (if applicable)</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Loan Eligible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BOOLEAN</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Whether the policy can be used to avail a loan (Yes/No)</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Loan Amount Allowed</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Maximum loan that can be availed against this policy</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Underwriting Expenses</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DECIMAL</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Costs incurred to evaluate, issue, and maintain the policy</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Purchase Month / Quarter / Year</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INTEGER</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Derived time fields — month, quarter, year of purchase</w:t>
            </w:r>
          </w:p>
        </w:tc>
      </w:tr>
    </w:tbl>
    <w:p>
      <w:pPr>
        <w:spacing w:before="0" w:after="240"/>
      </w:pPr>
    </w:p>
    <w:p>
      <w:pPr>
        <w:spacing w:before="280" w:after="100"/>
      </w:pPr>
      <w:r>
        <w:rPr>
          <w:rFonts w:ascii="Arial" w:cs="Arial" w:eastAsia="Arial" w:hAnsi="Arial"/>
          <w:b/>
          <w:bCs/>
          <w:color w:val="1B2A4A"/>
          <w:sz w:val="26"/>
          <w:szCs w:val="26"/>
        </w:rPr>
        <w:t xml:space="preserve">5.2  Customer Detail Table  (Dimension)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60"/>
        <w:gridCol w:w="5200"/>
      </w:tblGrid>
      <w:tr>
        <w:trPr>
          <w:tblHeader/>
        </w:trPr>
        <w:tc>
          <w:tcPr>
            <w:tcW w:type="dxa" w:w="2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Customer ID</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PK · 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Unique identifier for each customer</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Policy Holder Name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Full name of the policyholder</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Gender</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Gender of the customer — Male, Female, or Other</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Age at Entry</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INTEGER</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Age of the customer at the time of policy purchase</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Current Age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INTEGER</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Current age of the customer</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Occupation</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Profession of the customer (e.g., Doctor, Engineer, Teacher)</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Smoker Status</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BOOLEAN</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Indicates if the customer is a smoker (Yes/No)</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Medical Exam Required</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BOOLEAN</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Whether a medical test was required at policy issuance (Yes/No)</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Nationality</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Nationality of the customer (e.g., India)</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State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State of residence of the customer</w:t>
            </w:r>
          </w:p>
        </w:tc>
      </w:tr>
    </w:tbl>
    <w:p>
      <w:pPr>
        <w:spacing w:before="0" w:after="240"/>
      </w:pPr>
    </w:p>
    <w:p>
      <w:pPr>
        <w:spacing w:before="280" w:after="100"/>
      </w:pPr>
      <w:r>
        <w:rPr>
          <w:rFonts w:ascii="Arial" w:cs="Arial" w:eastAsia="Arial" w:hAnsi="Arial"/>
          <w:b/>
          <w:bCs/>
          <w:color w:val="1B2A4A"/>
          <w:sz w:val="26"/>
          <w:szCs w:val="26"/>
        </w:rPr>
        <w:t xml:space="preserve">5.3  Policy Type Table  (Dimension)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60"/>
        <w:gridCol w:w="5200"/>
      </w:tblGrid>
      <w:tr>
        <w:trPr>
          <w:tblHeader/>
        </w:trPr>
        <w:tc>
          <w:tcPr>
            <w:tcW w:type="dxa" w:w="2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Policy Type Code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PK · 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Unique alphanumeric code assigned to each policy type</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Policy Type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Category of insurance policy — Term, Whole Life, Universal, ULIP, etc.</w:t>
            </w:r>
          </w:p>
        </w:tc>
      </w:tr>
    </w:tbl>
    <w:p>
      <w:pPr>
        <w:spacing w:before="0" w:after="240"/>
      </w:pPr>
    </w:p>
    <w:p>
      <w:pPr>
        <w:spacing w:before="280" w:after="100"/>
      </w:pPr>
      <w:r>
        <w:rPr>
          <w:rFonts w:ascii="Arial" w:cs="Arial" w:eastAsia="Arial" w:hAnsi="Arial"/>
          <w:b/>
          <w:bCs/>
          <w:color w:val="1B2A4A"/>
          <w:sz w:val="26"/>
          <w:szCs w:val="26"/>
        </w:rPr>
        <w:t xml:space="preserve">5.4  Policy Name Table  (Dimension)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60"/>
        <w:gridCol w:w="5200"/>
      </w:tblGrid>
      <w:tr>
        <w:trPr>
          <w:tblHeader/>
        </w:trPr>
        <w:tc>
          <w:tcPr>
            <w:tcW w:type="dxa" w:w="2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Policy Code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PK · 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Unique alphanumeric identifier assigned to each policy product</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Policy Name</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Official product name of the policy (e.g., Life Growth Advantage, Smart Term Protect)</w:t>
            </w:r>
          </w:p>
        </w:tc>
      </w:tr>
    </w:tbl>
    <w:p>
      <w:pPr>
        <w:spacing w:before="0" w:after="240"/>
      </w:pPr>
    </w:p>
    <w:p>
      <w:pPr>
        <w:spacing w:before="280" w:after="100"/>
      </w:pPr>
      <w:r>
        <w:rPr>
          <w:rFonts w:ascii="Arial" w:cs="Arial" w:eastAsia="Arial" w:hAnsi="Arial"/>
          <w:b/>
          <w:bCs/>
          <w:color w:val="1B2A4A"/>
          <w:sz w:val="26"/>
          <w:szCs w:val="26"/>
        </w:rPr>
        <w:t xml:space="preserve">5.5  Sales Agent Table  (Dimension)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60"/>
        <w:gridCol w:w="5200"/>
      </w:tblGrid>
      <w:tr>
        <w:trPr>
          <w:tblHeader/>
        </w:trPr>
        <w:tc>
          <w:tcPr>
            <w:tcW w:type="dxa" w:w="2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 Name</w:t>
            </w:r>
          </w:p>
        </w:tc>
        <w:tc>
          <w:tcPr>
            <w:tcW w:type="dxa" w:w="1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5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Agent Code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PK · 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Unique alphanumeric ID for each sales agent (e.g., AGT-3894)</w:t>
            </w:r>
          </w:p>
        </w:tc>
      </w:tr>
      <w:tr>
        <w:tc>
          <w:tcPr>
            <w:tcW w:type="dxa" w:w="27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Sales Agent</w:t>
            </w:r>
          </w:p>
        </w:tc>
        <w:tc>
          <w:tcPr>
            <w:tcW w:type="dxa" w:w="14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Full name of the insurance sales agent (e.g., Dhanush Sarraf, Dishani Boman)</w:t>
            </w:r>
          </w:p>
        </w:tc>
      </w:tr>
      <w:tr>
        <w:tc>
          <w:tcPr>
            <w:tcW w:type="dxa" w:w="27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State</w:t>
            </w:r>
          </w:p>
        </w:tc>
        <w:tc>
          <w:tcPr>
            <w:tcW w:type="dxa" w:w="14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color w:val="1F5EAA"/>
                <w:sz w:val="18"/>
                <w:szCs w:val="18"/>
              </w:rPr>
              <w:t xml:space="preserve">TEXT</w:t>
            </w:r>
          </w:p>
        </w:tc>
        <w:tc>
          <w:tcPr>
            <w:tcW w:type="dxa" w:w="52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State in India where the agent is primarily operating and selling policies</w:t>
            </w:r>
          </w:p>
        </w:tc>
      </w:tr>
    </w:tbl>
    <w:p>
      <w:pPr>
        <w:spacing w:before="0" w:after="320"/>
      </w:pPr>
    </w:p>
    <w:p>
      <w:pPr>
        <w:pBdr>
          <w:bottom w:val="single" w:color="C8902A" w:sz="4" w:space="4"/>
        </w:pBdr>
        <w:spacing w:before="480" w:after="160"/>
      </w:pPr>
      <w:r>
        <w:rPr>
          <w:rFonts w:ascii="Arial" w:cs="Arial" w:eastAsia="Arial" w:hAnsi="Arial"/>
          <w:b/>
          <w:bCs/>
          <w:color w:val="1B2A4A"/>
          <w:sz w:val="36"/>
          <w:szCs w:val="36"/>
        </w:rPr>
        <w:t xml:space="preserve">6.  Key Metrics &amp; KPIs</w:t>
      </w:r>
    </w:p>
    <w:p>
      <w:pPr>
        <w:spacing w:before="0" w:after="80"/>
      </w:pPr>
    </w:p>
    <w:p>
      <w:pPr>
        <w:spacing w:before="0" w:after="100"/>
        <w:jc w:val="both"/>
      </w:pPr>
      <w:r>
        <w:rPr>
          <w:rFonts w:ascii="Arial" w:cs="Arial" w:eastAsia="Arial" w:hAnsi="Arial"/>
          <w:color w:val="4A5568"/>
          <w:sz w:val="21"/>
          <w:szCs w:val="21"/>
        </w:rPr>
        <w:t xml:space="preserve">The following KPIs form the core measurement framework of the dashboard, each sliceable by policy type, agent, region, customer segment, and time period.</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 Name</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01</w:t>
            </w:r>
          </w:p>
        </w:tc>
        <w:tc>
          <w:tcPr>
            <w:tcW w:type="dxa" w:w="2800"/>
            <w:tcBorders>
              <w:top w:val="single" w:color="D0D5E0" w:sz="1"/>
              <w:left w:val="single" w:color="D0D5E0" w:sz="1"/>
              <w:bottom w:val="single" w:color="D0D5E0" w:sz="1"/>
              <w:right w:val="single" w:color="D0D5E0" w:sz="1"/>
            </w:tcBorders>
            <w:shd w:fill="E8F5F3" w:val="clear"/>
            <w:tcMar>
              <w:top w:type="dxa" w:w="110"/>
              <w:left w:type="dxa" w:w="160"/>
              <w:bottom w:type="dxa" w:w="110"/>
              <w:right w:type="dxa" w:w="140"/>
            </w:tcMar>
            <w:vAlign w:val="center"/>
          </w:tcPr>
          <w:p>
            <w:r>
              <w:rPr>
                <w:rFonts w:ascii="Arial" w:cs="Arial" w:eastAsia="Arial" w:hAnsi="Arial"/>
                <w:b/>
                <w:bCs/>
                <w:color w:val="1A7A6E"/>
                <w:sz w:val="20"/>
                <w:szCs w:val="20"/>
              </w:rPr>
              <w:t xml:space="preserve">Total Premium Collected</w:t>
            </w:r>
          </w:p>
        </w:tc>
        <w:tc>
          <w:tcPr>
            <w:tcW w:type="dxa" w:w="5160"/>
            <w:tcBorders>
              <w:top w:val="single" w:color="D0D5E0" w:sz="1"/>
              <w:left w:val="single" w:color="D0D5E0" w:sz="1"/>
              <w:bottom w:val="single" w:color="D0D5E0" w:sz="1"/>
              <w:right w:val="single" w:color="D0D5E0" w:sz="1"/>
            </w:tcBorders>
            <w:shd w:fill="F5F7FA" w:val="clear"/>
            <w:tcMar>
              <w:top w:type="dxa" w:w="110"/>
              <w:left w:type="dxa" w:w="160"/>
              <w:bottom w:type="dxa" w:w="110"/>
              <w:right w:type="dxa" w:w="140"/>
            </w:tcMar>
          </w:tcPr>
          <w:p>
            <w:pPr>
              <w:jc w:val="both"/>
            </w:pPr>
            <w:r>
              <w:rPr>
                <w:rFonts w:ascii="Arial" w:cs="Arial" w:eastAsia="Arial" w:hAnsi="Arial"/>
                <w:color w:val="4A5568"/>
                <w:sz w:val="20"/>
                <w:szCs w:val="20"/>
              </w:rPr>
              <w:t xml:space="preserve">Sum of all premium payments received across active and closed policies within the selected period.</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02</w:t>
            </w:r>
          </w:p>
        </w:tc>
        <w:tc>
          <w:tcPr>
            <w:tcW w:type="dxa" w:w="280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vAlign w:val="center"/>
          </w:tcPr>
          <w:p>
            <w:r>
              <w:rPr>
                <w:rFonts w:ascii="Arial" w:cs="Arial" w:eastAsia="Arial" w:hAnsi="Arial"/>
                <w:b/>
                <w:bCs/>
                <w:color w:val="1A7A6E"/>
                <w:sz w:val="20"/>
                <w:szCs w:val="20"/>
              </w:rPr>
              <w:t xml:space="preserve">Total Policies Issued</w:t>
            </w:r>
          </w:p>
        </w:tc>
        <w:tc>
          <w:tcPr>
            <w:tcW w:type="dxa" w:w="516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tcPr>
          <w:p>
            <w:pPr>
              <w:jc w:val="both"/>
            </w:pPr>
            <w:r>
              <w:rPr>
                <w:rFonts w:ascii="Arial" w:cs="Arial" w:eastAsia="Arial" w:hAnsi="Arial"/>
                <w:color w:val="4A5568"/>
                <w:sz w:val="20"/>
                <w:szCs w:val="20"/>
              </w:rPr>
              <w:t xml:space="preserve">Count of all insurance policies issued, sliceable by type, agent, region, and time period.</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03</w:t>
            </w:r>
          </w:p>
        </w:tc>
        <w:tc>
          <w:tcPr>
            <w:tcW w:type="dxa" w:w="2800"/>
            <w:tcBorders>
              <w:top w:val="single" w:color="D0D5E0" w:sz="1"/>
              <w:left w:val="single" w:color="D0D5E0" w:sz="1"/>
              <w:bottom w:val="single" w:color="D0D5E0" w:sz="1"/>
              <w:right w:val="single" w:color="D0D5E0" w:sz="1"/>
            </w:tcBorders>
            <w:shd w:fill="E8F5F3" w:val="clear"/>
            <w:tcMar>
              <w:top w:type="dxa" w:w="110"/>
              <w:left w:type="dxa" w:w="160"/>
              <w:bottom w:type="dxa" w:w="110"/>
              <w:right w:type="dxa" w:w="140"/>
            </w:tcMar>
            <w:vAlign w:val="center"/>
          </w:tcPr>
          <w:p>
            <w:r>
              <w:rPr>
                <w:rFonts w:ascii="Arial" w:cs="Arial" w:eastAsia="Arial" w:hAnsi="Arial"/>
                <w:b/>
                <w:bCs/>
                <w:color w:val="1A7A6E"/>
                <w:sz w:val="20"/>
                <w:szCs w:val="20"/>
              </w:rPr>
              <w:t xml:space="preserve">Claim Settlement Rate</w:t>
            </w:r>
          </w:p>
        </w:tc>
        <w:tc>
          <w:tcPr>
            <w:tcW w:type="dxa" w:w="5160"/>
            <w:tcBorders>
              <w:top w:val="single" w:color="D0D5E0" w:sz="1"/>
              <w:left w:val="single" w:color="D0D5E0" w:sz="1"/>
              <w:bottom w:val="single" w:color="D0D5E0" w:sz="1"/>
              <w:right w:val="single" w:color="D0D5E0" w:sz="1"/>
            </w:tcBorders>
            <w:shd w:fill="F5F7FA" w:val="clear"/>
            <w:tcMar>
              <w:top w:type="dxa" w:w="110"/>
              <w:left w:type="dxa" w:w="160"/>
              <w:bottom w:type="dxa" w:w="110"/>
              <w:right w:type="dxa" w:w="140"/>
            </w:tcMar>
          </w:tcPr>
          <w:p>
            <w:pPr>
              <w:jc w:val="both"/>
            </w:pPr>
            <w:r>
              <w:rPr>
                <w:rFonts w:ascii="Arial" w:cs="Arial" w:eastAsia="Arial" w:hAnsi="Arial"/>
                <w:color w:val="4A5568"/>
                <w:sz w:val="20"/>
                <w:szCs w:val="20"/>
              </w:rPr>
              <w:t xml:space="preserve">Percentage of filed claims successfully settled; key indicator of operational efficiency.</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04</w:t>
            </w:r>
          </w:p>
        </w:tc>
        <w:tc>
          <w:tcPr>
            <w:tcW w:type="dxa" w:w="280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vAlign w:val="center"/>
          </w:tcPr>
          <w:p>
            <w:r>
              <w:rPr>
                <w:rFonts w:ascii="Arial" w:cs="Arial" w:eastAsia="Arial" w:hAnsi="Arial"/>
                <w:b/>
                <w:bCs/>
                <w:color w:val="1A7A6E"/>
                <w:sz w:val="20"/>
                <w:szCs w:val="20"/>
              </w:rPr>
              <w:t xml:space="preserve">Maturity Amount Forecast</w:t>
            </w:r>
          </w:p>
        </w:tc>
        <w:tc>
          <w:tcPr>
            <w:tcW w:type="dxa" w:w="516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tcPr>
          <w:p>
            <w:pPr>
              <w:jc w:val="both"/>
            </w:pPr>
            <w:r>
              <w:rPr>
                <w:rFonts w:ascii="Arial" w:cs="Arial" w:eastAsia="Arial" w:hAnsi="Arial"/>
                <w:color w:val="4A5568"/>
                <w:sz w:val="20"/>
                <w:szCs w:val="20"/>
              </w:rPr>
              <w:t xml:space="preserve">Projected total payout at policy maturity across all active policies, used for financial planning.</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05</w:t>
            </w:r>
          </w:p>
        </w:tc>
        <w:tc>
          <w:tcPr>
            <w:tcW w:type="dxa" w:w="2800"/>
            <w:tcBorders>
              <w:top w:val="single" w:color="D0D5E0" w:sz="1"/>
              <w:left w:val="single" w:color="D0D5E0" w:sz="1"/>
              <w:bottom w:val="single" w:color="D0D5E0" w:sz="1"/>
              <w:right w:val="single" w:color="D0D5E0" w:sz="1"/>
            </w:tcBorders>
            <w:shd w:fill="E8F5F3" w:val="clear"/>
            <w:tcMar>
              <w:top w:type="dxa" w:w="110"/>
              <w:left w:type="dxa" w:w="160"/>
              <w:bottom w:type="dxa" w:w="110"/>
              <w:right w:type="dxa" w:w="140"/>
            </w:tcMar>
            <w:vAlign w:val="center"/>
          </w:tcPr>
          <w:p>
            <w:r>
              <w:rPr>
                <w:rFonts w:ascii="Arial" w:cs="Arial" w:eastAsia="Arial" w:hAnsi="Arial"/>
                <w:b/>
                <w:bCs/>
                <w:color w:val="1A7A6E"/>
                <w:sz w:val="20"/>
                <w:szCs w:val="20"/>
              </w:rPr>
              <w:t xml:space="preserve">Lapsed Policy Rate</w:t>
            </w:r>
          </w:p>
        </w:tc>
        <w:tc>
          <w:tcPr>
            <w:tcW w:type="dxa" w:w="5160"/>
            <w:tcBorders>
              <w:top w:val="single" w:color="D0D5E0" w:sz="1"/>
              <w:left w:val="single" w:color="D0D5E0" w:sz="1"/>
              <w:bottom w:val="single" w:color="D0D5E0" w:sz="1"/>
              <w:right w:val="single" w:color="D0D5E0" w:sz="1"/>
            </w:tcBorders>
            <w:shd w:fill="F5F7FA" w:val="clear"/>
            <w:tcMar>
              <w:top w:type="dxa" w:w="110"/>
              <w:left w:type="dxa" w:w="160"/>
              <w:bottom w:type="dxa" w:w="110"/>
              <w:right w:type="dxa" w:w="140"/>
            </w:tcMar>
          </w:tcPr>
          <w:p>
            <w:pPr>
              <w:jc w:val="both"/>
            </w:pPr>
            <w:r>
              <w:rPr>
                <w:rFonts w:ascii="Arial" w:cs="Arial" w:eastAsia="Arial" w:hAnsi="Arial"/>
                <w:color w:val="4A5568"/>
                <w:sz w:val="20"/>
                <w:szCs w:val="20"/>
              </w:rPr>
              <w:t xml:space="preserve">Percentage of policies that have lapsed; flags retention issues and premium revenue at risk.</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06</w:t>
            </w:r>
          </w:p>
        </w:tc>
        <w:tc>
          <w:tcPr>
            <w:tcW w:type="dxa" w:w="280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vAlign w:val="center"/>
          </w:tcPr>
          <w:p>
            <w:r>
              <w:rPr>
                <w:rFonts w:ascii="Arial" w:cs="Arial" w:eastAsia="Arial" w:hAnsi="Arial"/>
                <w:b/>
                <w:bCs/>
                <w:color w:val="1A7A6E"/>
                <w:sz w:val="20"/>
                <w:szCs w:val="20"/>
              </w:rPr>
              <w:t xml:space="preserve">Active vs Closed Policies</w:t>
            </w:r>
          </w:p>
        </w:tc>
        <w:tc>
          <w:tcPr>
            <w:tcW w:type="dxa" w:w="516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tcPr>
          <w:p>
            <w:pPr>
              <w:jc w:val="both"/>
            </w:pPr>
            <w:r>
              <w:rPr>
                <w:rFonts w:ascii="Arial" w:cs="Arial" w:eastAsia="Arial" w:hAnsi="Arial"/>
                <w:color w:val="4A5568"/>
                <w:sz w:val="20"/>
                <w:szCs w:val="20"/>
              </w:rPr>
              <w:t xml:space="preserve">Split of current policy status to track portfolio health and trends in policy continuity.</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07</w:t>
            </w:r>
          </w:p>
        </w:tc>
        <w:tc>
          <w:tcPr>
            <w:tcW w:type="dxa" w:w="2800"/>
            <w:tcBorders>
              <w:top w:val="single" w:color="D0D5E0" w:sz="1"/>
              <w:left w:val="single" w:color="D0D5E0" w:sz="1"/>
              <w:bottom w:val="single" w:color="D0D5E0" w:sz="1"/>
              <w:right w:val="single" w:color="D0D5E0" w:sz="1"/>
            </w:tcBorders>
            <w:shd w:fill="E8F5F3" w:val="clear"/>
            <w:tcMar>
              <w:top w:type="dxa" w:w="110"/>
              <w:left w:type="dxa" w:w="160"/>
              <w:bottom w:type="dxa" w:w="110"/>
              <w:right w:type="dxa" w:w="140"/>
            </w:tcMar>
            <w:vAlign w:val="center"/>
          </w:tcPr>
          <w:p>
            <w:r>
              <w:rPr>
                <w:rFonts w:ascii="Arial" w:cs="Arial" w:eastAsia="Arial" w:hAnsi="Arial"/>
                <w:b/>
                <w:bCs/>
                <w:color w:val="1A7A6E"/>
                <w:sz w:val="20"/>
                <w:szCs w:val="20"/>
              </w:rPr>
              <w:t xml:space="preserve">Loan Exposure</w:t>
            </w:r>
          </w:p>
        </w:tc>
        <w:tc>
          <w:tcPr>
            <w:tcW w:type="dxa" w:w="5160"/>
            <w:tcBorders>
              <w:top w:val="single" w:color="D0D5E0" w:sz="1"/>
              <w:left w:val="single" w:color="D0D5E0" w:sz="1"/>
              <w:bottom w:val="single" w:color="D0D5E0" w:sz="1"/>
              <w:right w:val="single" w:color="D0D5E0" w:sz="1"/>
            </w:tcBorders>
            <w:shd w:fill="F5F7FA" w:val="clear"/>
            <w:tcMar>
              <w:top w:type="dxa" w:w="110"/>
              <w:left w:type="dxa" w:w="160"/>
              <w:bottom w:type="dxa" w:w="110"/>
              <w:right w:type="dxa" w:w="140"/>
            </w:tcMar>
          </w:tcPr>
          <w:p>
            <w:pPr>
              <w:jc w:val="both"/>
            </w:pPr>
            <w:r>
              <w:rPr>
                <w:rFonts w:ascii="Arial" w:cs="Arial" w:eastAsia="Arial" w:hAnsi="Arial"/>
                <w:color w:val="4A5568"/>
                <w:sz w:val="20"/>
                <w:szCs w:val="20"/>
              </w:rPr>
              <w:t xml:space="preserve">Total loan amount allowed and outstanding across loan-eligible policies to assess balance sheet risk.</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08</w:t>
            </w:r>
          </w:p>
        </w:tc>
        <w:tc>
          <w:tcPr>
            <w:tcW w:type="dxa" w:w="280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vAlign w:val="center"/>
          </w:tcPr>
          <w:p>
            <w:r>
              <w:rPr>
                <w:rFonts w:ascii="Arial" w:cs="Arial" w:eastAsia="Arial" w:hAnsi="Arial"/>
                <w:b/>
                <w:bCs/>
                <w:color w:val="1A7A6E"/>
                <w:sz w:val="20"/>
                <w:szCs w:val="20"/>
              </w:rPr>
              <w:t xml:space="preserve">Agent-wise Premium Revenue</w:t>
            </w:r>
          </w:p>
        </w:tc>
        <w:tc>
          <w:tcPr>
            <w:tcW w:type="dxa" w:w="516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tcPr>
          <w:p>
            <w:pPr>
              <w:jc w:val="both"/>
            </w:pPr>
            <w:r>
              <w:rPr>
                <w:rFonts w:ascii="Arial" w:cs="Arial" w:eastAsia="Arial" w:hAnsi="Arial"/>
                <w:color w:val="4A5568"/>
                <w:sz w:val="20"/>
                <w:szCs w:val="20"/>
              </w:rPr>
              <w:t xml:space="preserve">Premium collected per sales agent, ranked to surface top performers and identify coaching needs.</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09</w:t>
            </w:r>
          </w:p>
        </w:tc>
        <w:tc>
          <w:tcPr>
            <w:tcW w:type="dxa" w:w="2800"/>
            <w:tcBorders>
              <w:top w:val="single" w:color="D0D5E0" w:sz="1"/>
              <w:left w:val="single" w:color="D0D5E0" w:sz="1"/>
              <w:bottom w:val="single" w:color="D0D5E0" w:sz="1"/>
              <w:right w:val="single" w:color="D0D5E0" w:sz="1"/>
            </w:tcBorders>
            <w:shd w:fill="E8F5F3" w:val="clear"/>
            <w:tcMar>
              <w:top w:type="dxa" w:w="110"/>
              <w:left w:type="dxa" w:w="160"/>
              <w:bottom w:type="dxa" w:w="110"/>
              <w:right w:type="dxa" w:w="140"/>
            </w:tcMar>
            <w:vAlign w:val="center"/>
          </w:tcPr>
          <w:p>
            <w:r>
              <w:rPr>
                <w:rFonts w:ascii="Arial" w:cs="Arial" w:eastAsia="Arial" w:hAnsi="Arial"/>
                <w:b/>
                <w:bCs/>
                <w:color w:val="1A7A6E"/>
                <w:sz w:val="20"/>
                <w:szCs w:val="20"/>
              </w:rPr>
              <w:t xml:space="preserve">Monthly / Quarterly Trends</w:t>
            </w:r>
          </w:p>
        </w:tc>
        <w:tc>
          <w:tcPr>
            <w:tcW w:type="dxa" w:w="5160"/>
            <w:tcBorders>
              <w:top w:val="single" w:color="D0D5E0" w:sz="1"/>
              <w:left w:val="single" w:color="D0D5E0" w:sz="1"/>
              <w:bottom w:val="single" w:color="D0D5E0" w:sz="1"/>
              <w:right w:val="single" w:color="D0D5E0" w:sz="1"/>
            </w:tcBorders>
            <w:shd w:fill="F5F7FA" w:val="clear"/>
            <w:tcMar>
              <w:top w:type="dxa" w:w="110"/>
              <w:left w:type="dxa" w:w="160"/>
              <w:bottom w:type="dxa" w:w="110"/>
              <w:right w:type="dxa" w:w="140"/>
            </w:tcMar>
          </w:tcPr>
          <w:p>
            <w:pPr>
              <w:jc w:val="both"/>
            </w:pPr>
            <w:r>
              <w:rPr>
                <w:rFonts w:ascii="Arial" w:cs="Arial" w:eastAsia="Arial" w:hAnsi="Arial"/>
                <w:color w:val="4A5568"/>
                <w:sz w:val="20"/>
                <w:szCs w:val="20"/>
              </w:rPr>
              <w:t xml:space="preserve">Time-intelligence metrics including MoM premium growth, QoQ claim volumes, and YTD totals.</w:t>
            </w:r>
          </w:p>
        </w:tc>
      </w:tr>
      <w:tr>
        <w:tc>
          <w:tcPr>
            <w:tcW w:type="dxa" w:w="1400"/>
            <w:tcBorders>
              <w:top w:val="single" w:color="D0D5E0" w:sz="1"/>
              <w:left w:val="single" w:color="D0D5E0" w:sz="1"/>
              <w:bottom w:val="single" w:color="D0D5E0" w:sz="1"/>
              <w:right w:val="single" w:color="D0D5E0" w:sz="1"/>
            </w:tcBorders>
            <w:shd w:fill="1B2A4A" w:val="clear"/>
            <w:tcMar>
              <w:top w:type="dxa" w:w="110"/>
              <w:left w:type="dxa" w:w="140"/>
              <w:bottom w:type="dxa" w:w="110"/>
              <w:right w:type="dxa" w:w="140"/>
            </w:tcMar>
            <w:vAlign w:val="center"/>
          </w:tcPr>
          <w:p>
            <w:pPr>
              <w:jc w:val="center"/>
            </w:pPr>
            <w:r>
              <w:rPr>
                <w:rFonts w:ascii="Arial" w:cs="Arial" w:eastAsia="Arial" w:hAnsi="Arial"/>
                <w:b/>
                <w:bCs/>
                <w:color w:val="C8902A"/>
                <w:sz w:val="24"/>
                <w:szCs w:val="24"/>
              </w:rPr>
              <w:t xml:space="preserve">10</w:t>
            </w:r>
          </w:p>
        </w:tc>
        <w:tc>
          <w:tcPr>
            <w:tcW w:type="dxa" w:w="280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vAlign w:val="center"/>
          </w:tcPr>
          <w:p>
            <w:r>
              <w:rPr>
                <w:rFonts w:ascii="Arial" w:cs="Arial" w:eastAsia="Arial" w:hAnsi="Arial"/>
                <w:b/>
                <w:bCs/>
                <w:color w:val="1A7A6E"/>
                <w:sz w:val="20"/>
                <w:szCs w:val="20"/>
              </w:rPr>
              <w:t xml:space="preserve">Surrender Value at Risk</w:t>
            </w:r>
          </w:p>
        </w:tc>
        <w:tc>
          <w:tcPr>
            <w:tcW w:type="dxa" w:w="5160"/>
            <w:tcBorders>
              <w:top w:val="single" w:color="D0D5E0" w:sz="1"/>
              <w:left w:val="single" w:color="D0D5E0" w:sz="1"/>
              <w:bottom w:val="single" w:color="D0D5E0" w:sz="1"/>
              <w:right w:val="single" w:color="D0D5E0" w:sz="1"/>
            </w:tcBorders>
            <w:shd w:fill="FFFFFF" w:val="clear"/>
            <w:tcMar>
              <w:top w:type="dxa" w:w="110"/>
              <w:left w:type="dxa" w:w="160"/>
              <w:bottom w:type="dxa" w:w="110"/>
              <w:right w:type="dxa" w:w="140"/>
            </w:tcMar>
          </w:tcPr>
          <w:p>
            <w:pPr>
              <w:jc w:val="both"/>
            </w:pPr>
            <w:r>
              <w:rPr>
                <w:rFonts w:ascii="Arial" w:cs="Arial" w:eastAsia="Arial" w:hAnsi="Arial"/>
                <w:color w:val="4A5568"/>
                <w:sz w:val="20"/>
                <w:szCs w:val="20"/>
              </w:rPr>
              <w:t xml:space="preserve">Aggregate surrender value of policies showing lapse signals — quantifies revenue impact of early exits.</w:t>
            </w:r>
          </w:p>
        </w:tc>
      </w:tr>
    </w:tbl>
    <w:p>
      <w:pPr>
        <w:spacing w:before="0" w:after="320"/>
      </w:pPr>
    </w:p>
    <w:p>
      <w:pPr>
        <w:pBdr>
          <w:bottom w:val="single" w:color="C8902A" w:sz="4" w:space="4"/>
        </w:pBdr>
        <w:spacing w:before="480" w:after="160"/>
      </w:pPr>
      <w:r>
        <w:rPr>
          <w:rFonts w:ascii="Arial" w:cs="Arial" w:eastAsia="Arial" w:hAnsi="Arial"/>
          <w:b/>
          <w:bCs/>
          <w:color w:val="1B2A4A"/>
          <w:sz w:val="36"/>
          <w:szCs w:val="36"/>
        </w:rPr>
        <w:t xml:space="preserve">7.  Delivery Workflow</w:t>
      </w:r>
    </w:p>
    <w:p>
      <w:pPr>
        <w:spacing w:before="0" w:after="80"/>
      </w:pPr>
    </w:p>
    <w:p>
      <w:pPr>
        <w:spacing w:before="0" w:after="100"/>
        <w:jc w:val="both"/>
      </w:pPr>
      <w:r>
        <w:rPr>
          <w:rFonts w:ascii="Arial" w:cs="Arial" w:eastAsia="Arial" w:hAnsi="Arial"/>
          <w:color w:val="4A5568"/>
          <w:sz w:val="21"/>
          <w:szCs w:val="21"/>
        </w:rPr>
        <w:t xml:space="preserve">The dashboard is delivered through a structured six-step pipeline from raw source data to automated daily refresh in Power BI Service.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01</w:t>
            </w:r>
          </w:p>
        </w:tc>
        <w:tc>
          <w:tcPr>
            <w:tcW w:type="dxa" w:w="2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40"/>
            </w:tcMar>
            <w:vAlign w:val="center"/>
          </w:tcPr>
          <w:p>
            <w:r>
              <w:rPr>
                <w:rFonts w:ascii="Arial" w:cs="Arial" w:eastAsia="Arial" w:hAnsi="Arial"/>
                <w:b/>
                <w:bCs/>
                <w:color w:val="FFFFFF"/>
                <w:sz w:val="20"/>
                <w:szCs w:val="20"/>
              </w:rPr>
              <w:t xml:space="preserve">Data Source Connection</w:t>
            </w:r>
          </w:p>
        </w:tc>
        <w:tc>
          <w:tcPr>
            <w:tcW w:type="dxa" w:w="576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pPr>
              <w:jc w:val="both"/>
            </w:pPr>
            <w:r>
              <w:rPr>
                <w:rFonts w:ascii="Arial" w:cs="Arial" w:eastAsia="Arial" w:hAnsi="Arial"/>
                <w:color w:val="4A5568"/>
                <w:sz w:val="20"/>
                <w:szCs w:val="20"/>
              </w:rPr>
              <w:t xml:space="preserve">Connect Power BI to the six source tables (Customer Detail, Insurance Policy, Policy Type, Policy Name, Sales Agent, and Date Table) via Excel Workbook or SQL connectors.</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02</w:t>
            </w:r>
          </w:p>
        </w:tc>
        <w:tc>
          <w:tcPr>
            <w:tcW w:type="dxa" w:w="2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40"/>
            </w:tcMar>
            <w:vAlign w:val="center"/>
          </w:tcPr>
          <w:p>
            <w:r>
              <w:rPr>
                <w:rFonts w:ascii="Arial" w:cs="Arial" w:eastAsia="Arial" w:hAnsi="Arial"/>
                <w:b/>
                <w:bCs/>
                <w:color w:val="FFFFFF"/>
                <w:sz w:val="20"/>
                <w:szCs w:val="20"/>
              </w:rPr>
              <w:t xml:space="preserve">Data Transformation</w:t>
            </w:r>
          </w:p>
        </w:tc>
        <w:tc>
          <w:tcPr>
            <w:tcW w:type="dxa" w:w="576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pPr>
              <w:jc w:val="both"/>
            </w:pPr>
            <w:r>
              <w:rPr>
                <w:rFonts w:ascii="Arial" w:cs="Arial" w:eastAsia="Arial" w:hAnsi="Arial"/>
                <w:color w:val="4A5568"/>
                <w:sz w:val="20"/>
                <w:szCs w:val="20"/>
              </w:rPr>
              <w:t xml:space="preserve">Clean and shape all tables in Power Query — remove duplicates, handle nulls, standardise date formats, derive Purchase Month/Quarter/Year fields, and enforce data types.</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03</w:t>
            </w:r>
          </w:p>
        </w:tc>
        <w:tc>
          <w:tcPr>
            <w:tcW w:type="dxa" w:w="2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40"/>
            </w:tcMar>
            <w:vAlign w:val="center"/>
          </w:tcPr>
          <w:p>
            <w:r>
              <w:rPr>
                <w:rFonts w:ascii="Arial" w:cs="Arial" w:eastAsia="Arial" w:hAnsi="Arial"/>
                <w:b/>
                <w:bCs/>
                <w:color w:val="FFFFFF"/>
                <w:sz w:val="20"/>
                <w:szCs w:val="20"/>
              </w:rPr>
              <w:t xml:space="preserve">Data Model &amp; Relationships</w:t>
            </w:r>
          </w:p>
        </w:tc>
        <w:tc>
          <w:tcPr>
            <w:tcW w:type="dxa" w:w="576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pPr>
              <w:jc w:val="both"/>
            </w:pPr>
            <w:r>
              <w:rPr>
                <w:rFonts w:ascii="Arial" w:cs="Arial" w:eastAsia="Arial" w:hAnsi="Arial"/>
                <w:color w:val="4A5568"/>
                <w:sz w:val="20"/>
                <w:szCs w:val="20"/>
              </w:rPr>
              <w:t xml:space="preserve">Build a star schema with Insurance Policy as the Fact table. Link all five Dimension tables via CustomerID, AgentCode, PolicyTypeCode, PolicyCode, and SaleDate keys.</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04</w:t>
            </w:r>
          </w:p>
        </w:tc>
        <w:tc>
          <w:tcPr>
            <w:tcW w:type="dxa" w:w="2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40"/>
            </w:tcMar>
            <w:vAlign w:val="center"/>
          </w:tcPr>
          <w:p>
            <w:r>
              <w:rPr>
                <w:rFonts w:ascii="Arial" w:cs="Arial" w:eastAsia="Arial" w:hAnsi="Arial"/>
                <w:b/>
                <w:bCs/>
                <w:color w:val="FFFFFF"/>
                <w:sz w:val="20"/>
                <w:szCs w:val="20"/>
              </w:rPr>
              <w:t xml:space="preserve">DAX Measures</w:t>
            </w:r>
          </w:p>
        </w:tc>
        <w:tc>
          <w:tcPr>
            <w:tcW w:type="dxa" w:w="576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pPr>
              <w:jc w:val="both"/>
            </w:pPr>
            <w:r>
              <w:rPr>
                <w:rFonts w:ascii="Arial" w:cs="Arial" w:eastAsia="Arial" w:hAnsi="Arial"/>
                <w:color w:val="4A5568"/>
                <w:sz w:val="20"/>
                <w:szCs w:val="20"/>
              </w:rPr>
              <w:t xml:space="preserve">Author all KPI measures using DAX — SUM, DIVIDE, CALCULATE, SAMEPERIODLASTYEAR, DATEADD, COUNTROWS, DATEDIFF, and RANKX for dynamic context-aware reporting.</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05</w:t>
            </w:r>
          </w:p>
        </w:tc>
        <w:tc>
          <w:tcPr>
            <w:tcW w:type="dxa" w:w="2400"/>
            <w:tcBorders>
              <w:top w:val="single" w:color="D0D5E0" w:sz="1"/>
              <w:left w:val="single" w:color="D0D5E0" w:sz="1"/>
              <w:bottom w:val="single" w:color="D0D5E0" w:sz="1"/>
              <w:right w:val="single" w:color="D0D5E0" w:sz="1"/>
            </w:tcBorders>
            <w:shd w:fill="1B2A4A" w:val="clear"/>
            <w:tcMar>
              <w:top w:type="dxa" w:w="120"/>
              <w:left w:type="dxa" w:w="160"/>
              <w:bottom w:type="dxa" w:w="120"/>
              <w:right w:type="dxa" w:w="140"/>
            </w:tcMar>
            <w:vAlign w:val="center"/>
          </w:tcPr>
          <w:p>
            <w:r>
              <w:rPr>
                <w:rFonts w:ascii="Arial" w:cs="Arial" w:eastAsia="Arial" w:hAnsi="Arial"/>
                <w:b/>
                <w:bCs/>
                <w:color w:val="FFFFFF"/>
                <w:sz w:val="20"/>
                <w:szCs w:val="20"/>
              </w:rPr>
              <w:t xml:space="preserve">Dashboard Design</w:t>
            </w:r>
          </w:p>
        </w:tc>
        <w:tc>
          <w:tcPr>
            <w:tcW w:type="dxa" w:w="576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40"/>
            </w:tcMar>
          </w:tcPr>
          <w:p>
            <w:pPr>
              <w:jc w:val="both"/>
            </w:pPr>
            <w:r>
              <w:rPr>
                <w:rFonts w:ascii="Arial" w:cs="Arial" w:eastAsia="Arial" w:hAnsi="Arial"/>
                <w:color w:val="4A5568"/>
                <w:sz w:val="20"/>
                <w:szCs w:val="20"/>
              </w:rPr>
              <w:t xml:space="preserve">Build interactive pages covering Policy Overview, Premium Analytics, Claim Performance, Agent Scorecard, Maturity Forecast, and Loan Exposure with drill-through and slicers.</w:t>
            </w:r>
          </w:p>
        </w:tc>
      </w:tr>
      <w:tr>
        <w:tc>
          <w:tcPr>
            <w:tcW w:type="dxa" w:w="1200"/>
            <w:tcBorders>
              <w:top w:val="single" w:color="D0D5E0" w:sz="1"/>
              <w:left w:val="single" w:color="D0D5E0" w:sz="1"/>
              <w:bottom w:val="single" w:color="D0D5E0" w:sz="1"/>
              <w:right w:val="single" w:color="D0D5E0" w:sz="1"/>
            </w:tcBorders>
            <w:shd w:fill="C8902A"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06</w:t>
            </w:r>
          </w:p>
        </w:tc>
        <w:tc>
          <w:tcPr>
            <w:tcW w:type="dxa" w:w="2400"/>
            <w:tcBorders>
              <w:top w:val="single" w:color="D0D5E0" w:sz="1"/>
              <w:left w:val="single" w:color="D0D5E0" w:sz="1"/>
              <w:bottom w:val="single" w:color="D0D5E0" w:sz="1"/>
              <w:right w:val="single" w:color="D0D5E0" w:sz="1"/>
            </w:tcBorders>
            <w:shd w:fill="253555" w:val="clear"/>
            <w:tcMar>
              <w:top w:type="dxa" w:w="120"/>
              <w:left w:type="dxa" w:w="160"/>
              <w:bottom w:type="dxa" w:w="120"/>
              <w:right w:type="dxa" w:w="140"/>
            </w:tcMar>
            <w:vAlign w:val="center"/>
          </w:tcPr>
          <w:p>
            <w:r>
              <w:rPr>
                <w:rFonts w:ascii="Arial" w:cs="Arial" w:eastAsia="Arial" w:hAnsi="Arial"/>
                <w:b/>
                <w:bCs/>
                <w:color w:val="FFFFFF"/>
                <w:sz w:val="20"/>
                <w:szCs w:val="20"/>
              </w:rPr>
              <w:t xml:space="preserve">Automated Refresh Setup</w:t>
            </w:r>
          </w:p>
        </w:tc>
        <w:tc>
          <w:tcPr>
            <w:tcW w:type="dxa" w:w="5760"/>
            <w:tcBorders>
              <w:top w:val="single" w:color="D0D5E0" w:sz="1"/>
              <w:left w:val="single" w:color="D0D5E0" w:sz="1"/>
              <w:bottom w:val="single" w:color="D0D5E0" w:sz="1"/>
              <w:right w:val="single" w:color="D0D5E0" w:sz="1"/>
            </w:tcBorders>
            <w:shd w:fill="FFFFFF" w:val="clear"/>
            <w:tcMar>
              <w:top w:type="dxa" w:w="120"/>
              <w:left w:type="dxa" w:w="160"/>
              <w:bottom w:type="dxa" w:w="120"/>
              <w:right w:type="dxa" w:w="140"/>
            </w:tcMar>
          </w:tcPr>
          <w:p>
            <w:pPr>
              <w:jc w:val="both"/>
            </w:pPr>
            <w:r>
              <w:rPr>
                <w:rFonts w:ascii="Arial" w:cs="Arial" w:eastAsia="Arial" w:hAnsi="Arial"/>
                <w:color w:val="4A5568"/>
                <w:sz w:val="20"/>
                <w:szCs w:val="20"/>
              </w:rPr>
              <w:t xml:space="preserve">Publish to Power BI Service and configure a scheduled daily refresh via data gateway or direct cloud connector so stakeholders always see current data.</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4"/>
              <w:left w:val="single" w:color="D0D5E0" w:sz="1"/>
              <w:bottom w:val="single" w:color="D0D5E0" w:sz="1"/>
              <w:right w:val="single" w:color="D0D5E0" w:sz="1"/>
            </w:tcBorders>
            <w:shd w:fill="F5F7FA" w:val="clear"/>
            <w:tcMar>
              <w:top w:type="dxa" w:w="200"/>
              <w:left w:type="dxa" w:w="280"/>
              <w:bottom w:type="dxa" w:w="200"/>
              <w:right w:type="dxa" w:w="280"/>
            </w:tcMar>
          </w:tcPr>
          <w:p>
            <w:pPr>
              <w:spacing w:before="0" w:after="100"/>
            </w:pPr>
            <w:r>
              <w:rPr>
                <w:rFonts w:ascii="Arial" w:cs="Arial" w:eastAsia="Arial" w:hAnsi="Arial"/>
                <w:b/>
                <w:bCs/>
                <w:color w:val="1B2A4A"/>
                <w:sz w:val="22"/>
                <w:szCs w:val="22"/>
              </w:rPr>
              <w:t xml:space="preserve">Document Information</w:t>
            </w:r>
          </w:p>
          <w:p>
            <w:r>
              <w:rPr>
                <w:rFonts w:ascii="Arial" w:cs="Arial" w:eastAsia="Arial" w:hAnsi="Arial"/>
                <w:b/>
                <w:bCs/>
                <w:color w:val="1B2A4A"/>
                <w:sz w:val="20"/>
                <w:szCs w:val="20"/>
              </w:rPr>
              <w:t xml:space="preserve">Document ID: </w:t>
            </w:r>
            <w:r>
              <w:rPr>
                <w:rFonts w:ascii="Arial" w:cs="Arial" w:eastAsia="Arial" w:hAnsi="Arial"/>
                <w:color w:val="4A5568"/>
                <w:sz w:val="20"/>
                <w:szCs w:val="20"/>
              </w:rPr>
              <w:t xml:space="preserve">RPT-002     </w:t>
            </w:r>
            <w:r>
              <w:rPr>
                <w:rFonts w:ascii="Arial" w:cs="Arial" w:eastAsia="Arial" w:hAnsi="Arial"/>
                <w:b/>
                <w:bCs/>
                <w:color w:val="1B2A4A"/>
                <w:sz w:val="20"/>
                <w:szCs w:val="20"/>
              </w:rPr>
              <w:t xml:space="preserve">Version: </w:t>
            </w:r>
            <w:r>
              <w:rPr>
                <w:rFonts w:ascii="Arial" w:cs="Arial" w:eastAsia="Arial" w:hAnsi="Arial"/>
                <w:color w:val="4A5568"/>
                <w:sz w:val="20"/>
                <w:szCs w:val="20"/>
              </w:rPr>
              <w:t xml:space="preserve">1.0     </w:t>
            </w:r>
            <w:r>
              <w:rPr>
                <w:rFonts w:ascii="Arial" w:cs="Arial" w:eastAsia="Arial" w:hAnsi="Arial"/>
                <w:b/>
                <w:bCs/>
                <w:color w:val="1B2A4A"/>
                <w:sz w:val="20"/>
                <w:szCs w:val="20"/>
              </w:rPr>
              <w:t xml:space="preserve">Client: </w:t>
            </w:r>
            <w:r>
              <w:rPr>
                <w:rFonts w:ascii="Arial" w:cs="Arial" w:eastAsia="Arial" w:hAnsi="Arial"/>
                <w:color w:val="4A5568"/>
                <w:sz w:val="20"/>
                <w:szCs w:val="20"/>
              </w:rPr>
              <w:t xml:space="preserve">TruSecure CreDebit Insurance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2" w:space="1"/>
      </w:pBdr>
      <w:tabs>
        <w:tab w:val="right" w:pos="9026"/>
      </w:tabs>
      <w:spacing w:before="80"/>
    </w:pPr>
    <w:r>
      <w:rPr>
        <w:rFonts w:ascii="Arial" w:cs="Arial" w:eastAsia="Arial" w:hAnsi="Arial"/>
        <w:color w:val="7A849A"/>
        <w:sz w:val="16"/>
        <w:szCs w:val="16"/>
      </w:rPr>
      <w:t xml:space="preserve">RPT-002  |  2025</w:t>
    </w:r>
    <w:r>
      <w:rPr>
        <w:rFonts w:ascii="Arial" w:cs="Arial" w:eastAsia="Arial" w:hAnsi="Arial"/>
        <w:color w:val="7A849A"/>
        <w:sz w:val="16"/>
        <w:szCs w:val="16"/>
      </w:rPr>
      <w:t xml:space="preserve">	Page </w:t>
    </w:r>
    <w:r>
      <w:rPr>
        <w:rFonts w:ascii="Arial" w:cs="Arial" w:eastAsia="Arial" w:hAnsi="Arial"/>
        <w:color w:val="7A849A"/>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W w:type="dxa" w:w="6800"/>
          <w:tcBorders>
            <w:top w:val="none" w:color="FFFFFF" w:sz="0"/>
            <w:left w:val="none" w:color="FFFFFF" w:sz="0"/>
            <w:bottom w:val="single" w:color="C8902A" w:sz="2"/>
            <w:right w:val="none" w:color="FFFFFF" w:sz="0"/>
          </w:tcBorders>
          <w:tcMar>
            <w:top w:type="dxa" w:w="0"/>
            <w:left w:type="dxa" w:w="0"/>
            <w:bottom w:type="dxa" w:w="80"/>
            <w:right w:type="dxa" w:w="0"/>
          </w:tcMar>
        </w:tcPr>
        <w:p>
          <w:r>
            <w:rPr>
              <w:rFonts w:ascii="Arial" w:cs="Arial" w:eastAsia="Arial" w:hAnsi="Arial"/>
              <w:color w:val="7A849A"/>
              <w:sz w:val="16"/>
              <w:szCs w:val="16"/>
            </w:rPr>
            <w:t xml:space="preserve">INSURANCE PREMIUM &amp; PAYOUT KPI DASHBOARD  |  USE CASE DOCUMENT</w:t>
          </w:r>
        </w:p>
      </w:tc>
      <w:tc>
        <w:tcPr>
          <w:tcW w:type="dxa" w:w="3280"/>
          <w:tcBorders>
            <w:top w:val="none" w:color="FFFFFF" w:sz="0"/>
            <w:left w:val="none" w:color="FFFFFF" w:sz="0"/>
            <w:bottom w:val="single" w:color="C8902A" w:sz="2"/>
            <w:right w:val="none" w:color="FFFFFF" w:sz="0"/>
          </w:tcBorders>
          <w:tcMar>
            <w:top w:type="dxa" w:w="0"/>
            <w:left w:type="dxa" w:w="0"/>
            <w:bottom w:type="dxa" w:w="80"/>
            <w:right w:type="dxa" w:w="0"/>
          </w:tcMar>
        </w:tcPr>
        <w:p>
          <w:pPr>
            <w:jc w:val="right"/>
          </w:pPr>
          <w:r>
            <w:rPr>
              <w:rFonts w:ascii="Arial" w:cs="Arial" w:eastAsia="Arial" w:hAnsi="Arial"/>
              <w:b/>
              <w:bCs/>
              <w:color w:val="C8902A"/>
              <w:sz w:val="16"/>
              <w:szCs w:val="16"/>
            </w:rPr>
            <w:t xml:space="preserve">TruSecure CreDebit Insurance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2026-03-12T16:11:19.230Z</dcterms:created>
  <dcterms:modified xsi:type="dcterms:W3CDTF">2026-03-12T16:11:19.230Z</dcterms:modified>
</cp:coreProperties>
</file>

<file path=docProps/custom.xml><?xml version="1.0" encoding="utf-8"?>
<Properties xmlns="http://schemas.openxmlformats.org/officeDocument/2006/custom-properties" xmlns:vt="http://schemas.openxmlformats.org/officeDocument/2006/docPropsVTypes"/>
</file>