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440"/>
              <w:left w:type="dxa" w:w="440"/>
              <w:bottom w:type="dxa" w:w="440"/>
              <w:right w:type="dxa" w:w="440"/>
            </w:tcMar>
          </w:tcPr>
          <w:p>
            <w:pPr>
              <w:spacing w:before="0" w:after="100"/>
            </w:pPr>
            <w:r>
              <w:rPr>
                <w:rFonts w:ascii="Arial" w:cs="Arial" w:eastAsia="Arial" w:hAnsi="Arial"/>
                <w:b/>
                <w:bCs/>
                <w:color w:val="C8902A"/>
                <w:spacing w:val="80"/>
                <w:sz w:val="18"/>
                <w:szCs w:val="18"/>
              </w:rPr>
              <w:t xml:space="preserve">TECHNICAL REFERENCE DOCUMENT</w:t>
            </w:r>
          </w:p>
          <w:p>
            <w:pPr>
              <w:spacing w:before="0" w:after="120"/>
            </w:pPr>
            <w:r>
              <w:rPr>
                <w:rFonts w:ascii="Arial" w:cs="Arial" w:eastAsia="Arial" w:hAnsi="Arial"/>
                <w:b/>
                <w:bCs/>
                <w:color w:val="FFFFFF"/>
                <w:sz w:val="52"/>
                <w:szCs w:val="52"/>
              </w:rPr>
              <w:t xml:space="preserve">DAX Functions &amp; Data Connectors</w:t>
            </w:r>
          </w:p>
          <w:p>
            <w:pPr>
              <w:spacing w:before="0" w:after="0"/>
            </w:pPr>
            <w:r>
              <w:rPr>
                <w:rFonts w:ascii="Arial" w:cs="Arial" w:eastAsia="Arial" w:hAnsi="Arial"/>
                <w:color w:val="A8B8CC"/>
                <w:sz w:val="24"/>
                <w:szCs w:val="24"/>
              </w:rPr>
              <w:t xml:space="preserve">Pharma Sales Analytics Dashboard  —  Cipla Pharmaceutical</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360"/>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60"/>
            </w:tcMar>
          </w:tcPr>
          <w:p>
            <w:pPr>
              <w:spacing w:before="0" w:after="40"/>
            </w:pPr>
            <w:r>
              <w:rPr>
                <w:rFonts w:ascii="Arial" w:cs="Arial" w:eastAsia="Arial" w:hAnsi="Arial"/>
                <w:color w:val="7A849A"/>
                <w:sz w:val="16"/>
                <w:szCs w:val="16"/>
              </w:rPr>
              <w:t xml:space="preserve">Client</w:t>
            </w:r>
          </w:p>
          <w:p>
            <w:pPr>
              <w:spacing w:before="0" w:after="0"/>
            </w:pPr>
            <w:r>
              <w:rPr>
                <w:rFonts w:ascii="Arial" w:cs="Arial" w:eastAsia="Arial" w:hAnsi="Arial"/>
                <w:b/>
                <w:bCs/>
                <w:color w:val="1B2A4A"/>
                <w:sz w:val="20"/>
                <w:szCs w:val="20"/>
              </w:rPr>
              <w:t xml:space="preserve">Cipla Pharmaceutical</w:t>
            </w:r>
          </w:p>
        </w:tc>
        <w:tc>
          <w:tcPr>
            <w:tcW w:type="dxa" w:w="3360"/>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60"/>
            </w:tcMar>
          </w:tcPr>
          <w:p>
            <w:pPr>
              <w:spacing w:before="0" w:after="40"/>
            </w:pPr>
            <w:r>
              <w:rPr>
                <w:rFonts w:ascii="Arial" w:cs="Arial" w:eastAsia="Arial" w:hAnsi="Arial"/>
                <w:color w:val="7A849A"/>
                <w:sz w:val="16"/>
                <w:szCs w:val="16"/>
              </w:rPr>
              <w:t xml:space="preserve">Role</w:t>
            </w:r>
          </w:p>
          <w:p>
            <w:pPr>
              <w:spacing w:before="0" w:after="0"/>
            </w:pPr>
            <w:r>
              <w:rPr>
                <w:rFonts w:ascii="Arial" w:cs="Arial" w:eastAsia="Arial" w:hAnsi="Arial"/>
                <w:b/>
                <w:bCs/>
                <w:color w:val="1B2A4A"/>
                <w:sz w:val="20"/>
                <w:szCs w:val="20"/>
              </w:rPr>
              <w:t xml:space="preserve">BI Developer</w:t>
            </w:r>
          </w:p>
        </w:tc>
        <w:tc>
          <w:tcPr>
            <w:tcW w:type="dxa" w:w="3360"/>
            <w:tcBorders>
              <w:top w:val="single" w:color="D0D5E0" w:sz="1"/>
              <w:left w:val="single" w:color="D0D5E0" w:sz="1"/>
              <w:bottom w:val="single" w:color="D0D5E0" w:sz="1"/>
              <w:right w:val="single" w:color="D0D5E0" w:sz="1"/>
            </w:tcBorders>
            <w:shd w:fill="F5F7FA" w:val="clear"/>
            <w:tcMar>
              <w:top w:type="dxa" w:w="120"/>
              <w:left w:type="dxa" w:w="160"/>
              <w:bottom w:type="dxa" w:w="120"/>
              <w:right w:type="dxa" w:w="160"/>
            </w:tcMar>
          </w:tcPr>
          <w:p>
            <w:pPr>
              <w:spacing w:before="0" w:after="40"/>
            </w:pPr>
            <w:r>
              <w:rPr>
                <w:rFonts w:ascii="Arial" w:cs="Arial" w:eastAsia="Arial" w:hAnsi="Arial"/>
                <w:color w:val="7A849A"/>
                <w:sz w:val="16"/>
                <w:szCs w:val="16"/>
              </w:rPr>
              <w:t xml:space="preserve">Date</w:t>
            </w:r>
          </w:p>
          <w:p>
            <w:pPr>
              <w:spacing w:before="0" w:after="0"/>
            </w:pPr>
            <w:r>
              <w:rPr>
                <w:rFonts w:ascii="Arial" w:cs="Arial" w:eastAsia="Arial" w:hAnsi="Arial"/>
                <w:b/>
                <w:bCs/>
                <w:color w:val="1B2A4A"/>
                <w:sz w:val="20"/>
                <w:szCs w:val="20"/>
              </w:rPr>
              <w:t xml:space="preserve">June 2025</w:t>
            </w:r>
          </w:p>
        </w:tc>
      </w:tr>
    </w:tbl>
    <w:p>
      <w:pPr>
        <w:spacing w:before="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2016"/>
            <w:tcBorders>
              <w:top w:val="single" w:color="C8902A" w:sz="1"/>
              <w:left w:val="single" w:color="C8902A" w:sz="1"/>
              <w:bottom w:val="single" w:color="C8902A" w:sz="1"/>
              <w:right w:val="single" w:color="C8902A" w:sz="1"/>
            </w:tcBorders>
            <w:shd w:fill="FDF6E8" w:val="clear"/>
            <w:tcMar>
              <w:top w:type="dxa" w:w="140"/>
              <w:left w:type="dxa" w:w="140"/>
              <w:bottom w:type="dxa" w:w="140"/>
              <w:right w:type="dxa" w:w="140"/>
            </w:tcMar>
          </w:tcPr>
          <w:p>
            <w:pPr>
              <w:spacing w:before="0" w:after="40"/>
              <w:jc w:val="center"/>
            </w:pPr>
            <w:r>
              <w:rPr>
                <w:rFonts w:ascii="Arial" w:cs="Arial" w:eastAsia="Arial" w:hAnsi="Arial"/>
                <w:b/>
                <w:bCs/>
                <w:color w:val="C8902A"/>
                <w:sz w:val="40"/>
                <w:szCs w:val="40"/>
              </w:rPr>
              <w:t xml:space="preserve">8</w:t>
            </w:r>
          </w:p>
          <w:p>
            <w:pPr>
              <w:spacing w:before="0" w:after="0"/>
              <w:jc w:val="center"/>
            </w:pPr>
            <w:r>
              <w:rPr>
                <w:rFonts w:ascii="Arial" w:cs="Arial" w:eastAsia="Arial" w:hAnsi="Arial"/>
                <w:color w:val="7A849A"/>
                <w:sz w:val="16"/>
                <w:szCs w:val="16"/>
              </w:rPr>
              <w:t xml:space="preserve">DAX Measures</w:t>
            </w:r>
          </w:p>
        </w:tc>
        <w:tc>
          <w:tcPr>
            <w:tcW w:type="dxa" w:w="2016"/>
            <w:tcBorders>
              <w:top w:val="single" w:color="C8902A" w:sz="1"/>
              <w:left w:val="single" w:color="C8902A" w:sz="1"/>
              <w:bottom w:val="single" w:color="C8902A" w:sz="1"/>
              <w:right w:val="single" w:color="C8902A" w:sz="1"/>
            </w:tcBorders>
            <w:shd w:fill="FDF6E8" w:val="clear"/>
            <w:tcMar>
              <w:top w:type="dxa" w:w="140"/>
              <w:left w:type="dxa" w:w="140"/>
              <w:bottom w:type="dxa" w:w="140"/>
              <w:right w:type="dxa" w:w="140"/>
            </w:tcMar>
          </w:tcPr>
          <w:p>
            <w:pPr>
              <w:spacing w:before="0" w:after="40"/>
              <w:jc w:val="center"/>
            </w:pPr>
            <w:r>
              <w:rPr>
                <w:rFonts w:ascii="Arial" w:cs="Arial" w:eastAsia="Arial" w:hAnsi="Arial"/>
                <w:b/>
                <w:bCs/>
                <w:color w:val="C8902A"/>
                <w:sz w:val="40"/>
                <w:szCs w:val="40"/>
              </w:rPr>
              <w:t xml:space="preserve">5</w:t>
            </w:r>
          </w:p>
          <w:p>
            <w:pPr>
              <w:spacing w:before="0" w:after="0"/>
              <w:jc w:val="center"/>
            </w:pPr>
            <w:r>
              <w:rPr>
                <w:rFonts w:ascii="Arial" w:cs="Arial" w:eastAsia="Arial" w:hAnsi="Arial"/>
                <w:color w:val="7A849A"/>
                <w:sz w:val="16"/>
                <w:szCs w:val="16"/>
              </w:rPr>
              <w:t xml:space="preserve">DAX Functions</w:t>
            </w:r>
          </w:p>
        </w:tc>
        <w:tc>
          <w:tcPr>
            <w:tcW w:type="dxa" w:w="2016"/>
            <w:tcBorders>
              <w:top w:val="single" w:color="C8902A" w:sz="1"/>
              <w:left w:val="single" w:color="C8902A" w:sz="1"/>
              <w:bottom w:val="single" w:color="C8902A" w:sz="1"/>
              <w:right w:val="single" w:color="C8902A" w:sz="1"/>
            </w:tcBorders>
            <w:shd w:fill="FDF6E8" w:val="clear"/>
            <w:tcMar>
              <w:top w:type="dxa" w:w="140"/>
              <w:left w:type="dxa" w:w="140"/>
              <w:bottom w:type="dxa" w:w="140"/>
              <w:right w:type="dxa" w:w="140"/>
            </w:tcMar>
          </w:tcPr>
          <w:p>
            <w:pPr>
              <w:spacing w:before="0" w:after="40"/>
              <w:jc w:val="center"/>
            </w:pPr>
            <w:r>
              <w:rPr>
                <w:rFonts w:ascii="Arial" w:cs="Arial" w:eastAsia="Arial" w:hAnsi="Arial"/>
                <w:b/>
                <w:bCs/>
                <w:color w:val="C8902A"/>
                <w:sz w:val="40"/>
                <w:szCs w:val="40"/>
              </w:rPr>
              <w:t xml:space="preserve">6</w:t>
            </w:r>
          </w:p>
          <w:p>
            <w:pPr>
              <w:spacing w:before="0" w:after="0"/>
              <w:jc w:val="center"/>
            </w:pPr>
            <w:r>
              <w:rPr>
                <w:rFonts w:ascii="Arial" w:cs="Arial" w:eastAsia="Arial" w:hAnsi="Arial"/>
                <w:color w:val="7A849A"/>
                <w:sz w:val="16"/>
                <w:szCs w:val="16"/>
              </w:rPr>
              <w:t xml:space="preserve">Data Sources</w:t>
            </w:r>
          </w:p>
        </w:tc>
        <w:tc>
          <w:tcPr>
            <w:tcW w:type="dxa" w:w="2016"/>
            <w:tcBorders>
              <w:top w:val="single" w:color="C8902A" w:sz="1"/>
              <w:left w:val="single" w:color="C8902A" w:sz="1"/>
              <w:bottom w:val="single" w:color="C8902A" w:sz="1"/>
              <w:right w:val="single" w:color="C8902A" w:sz="1"/>
            </w:tcBorders>
            <w:shd w:fill="FDF6E8" w:val="clear"/>
            <w:tcMar>
              <w:top w:type="dxa" w:w="140"/>
              <w:left w:type="dxa" w:w="140"/>
              <w:bottom w:type="dxa" w:w="140"/>
              <w:right w:type="dxa" w:w="140"/>
            </w:tcMar>
          </w:tcPr>
          <w:p>
            <w:pPr>
              <w:spacing w:before="0" w:after="40"/>
              <w:jc w:val="center"/>
            </w:pPr>
            <w:r>
              <w:rPr>
                <w:rFonts w:ascii="Arial" w:cs="Arial" w:eastAsia="Arial" w:hAnsi="Arial"/>
                <w:b/>
                <w:bCs/>
                <w:color w:val="C8902A"/>
                <w:sz w:val="40"/>
                <w:szCs w:val="40"/>
              </w:rPr>
              <w:t xml:space="preserve">4</w:t>
            </w:r>
          </w:p>
          <w:p>
            <w:pPr>
              <w:spacing w:before="0" w:after="0"/>
              <w:jc w:val="center"/>
            </w:pPr>
            <w:r>
              <w:rPr>
                <w:rFonts w:ascii="Arial" w:cs="Arial" w:eastAsia="Arial" w:hAnsi="Arial"/>
                <w:color w:val="7A849A"/>
                <w:sz w:val="16"/>
                <w:szCs w:val="16"/>
              </w:rPr>
              <w:t xml:space="preserve">Connector Types</w:t>
            </w:r>
          </w:p>
        </w:tc>
        <w:tc>
          <w:tcPr>
            <w:tcW w:type="dxa" w:w="2016"/>
            <w:tcBorders>
              <w:top w:val="single" w:color="C8902A" w:sz="1"/>
              <w:left w:val="single" w:color="C8902A" w:sz="1"/>
              <w:bottom w:val="single" w:color="C8902A" w:sz="1"/>
              <w:right w:val="single" w:color="C8902A" w:sz="1"/>
            </w:tcBorders>
            <w:shd w:fill="FDF6E8" w:val="clear"/>
            <w:tcMar>
              <w:top w:type="dxa" w:w="140"/>
              <w:left w:type="dxa" w:w="140"/>
              <w:bottom w:type="dxa" w:w="140"/>
              <w:right w:type="dxa" w:w="140"/>
            </w:tcMar>
          </w:tcPr>
          <w:p>
            <w:pPr>
              <w:spacing w:before="0" w:after="40"/>
              <w:jc w:val="center"/>
            </w:pPr>
            <w:r>
              <w:rPr>
                <w:rFonts w:ascii="Arial" w:cs="Arial" w:eastAsia="Arial" w:hAnsi="Arial"/>
                <w:b/>
                <w:bCs/>
                <w:color w:val="C8902A"/>
                <w:sz w:val="40"/>
                <w:szCs w:val="40"/>
              </w:rPr>
              <w:t xml:space="preserve">90%</w:t>
            </w:r>
          </w:p>
          <w:p>
            <w:pPr>
              <w:spacing w:before="0" w:after="0"/>
              <w:jc w:val="center"/>
            </w:pPr>
            <w:r>
              <w:rPr>
                <w:rFonts w:ascii="Arial" w:cs="Arial" w:eastAsia="Arial" w:hAnsi="Arial"/>
                <w:color w:val="7A849A"/>
                <w:sz w:val="16"/>
                <w:szCs w:val="16"/>
              </w:rPr>
              <w:t xml:space="preserve">Time Saved</w:t>
            </w:r>
          </w:p>
        </w:tc>
      </w:tr>
    </w:tbl>
    <w:p>
      <w:pPr>
        <w:spacing w:before="0" w:after="280"/>
      </w:pPr>
    </w:p>
    <w:p>
      <w:pPr>
        <w:pBdr>
          <w:bottom w:val="single" w:color="C8902A" w:sz="4" w:space="4"/>
        </w:pBdr>
        <w:spacing w:before="500" w:after="160"/>
      </w:pPr>
      <w:r>
        <w:rPr>
          <w:rFonts w:ascii="Arial" w:cs="Arial" w:eastAsia="Arial" w:hAnsi="Arial"/>
          <w:b/>
          <w:bCs/>
          <w:color w:val="1B2A4A"/>
          <w:sz w:val="36"/>
          <w:szCs w:val="36"/>
        </w:rPr>
        <w:t xml:space="preserve">1.  DAX Measures</w:t>
      </w:r>
    </w:p>
    <w:p>
      <w:pPr>
        <w:spacing w:before="0" w:after="80"/>
      </w:pPr>
    </w:p>
    <w:p>
      <w:pPr>
        <w:spacing w:before="0" w:after="100"/>
        <w:jc w:val="both"/>
      </w:pPr>
      <w:r>
        <w:rPr>
          <w:rFonts w:ascii="Arial" w:cs="Arial" w:eastAsia="Arial" w:hAnsi="Arial"/>
          <w:color w:val="4A5568"/>
          <w:sz w:val="21"/>
          <w:szCs w:val="21"/>
        </w:rPr>
        <w:t xml:space="preserve">All DAX measures are authored in the Pharma Sales data model. Each measure is documented below with its formula, the DAX function(s) used, and a plain-language description of its purpose.</w:t>
      </w:r>
    </w:p>
    <w:p>
      <w:pPr>
        <w:spacing w:before="0" w:after="160"/>
      </w:pPr>
    </w:p>
    <w:p>
      <w:pPr>
        <w:spacing w:before="300" w:after="120"/>
      </w:pPr>
      <w:r>
        <w:rPr>
          <w:rFonts w:ascii="Arial" w:cs="Arial" w:eastAsia="Arial" w:hAnsi="Arial"/>
          <w:b/>
          <w:bCs/>
          <w:color w:val="1B2A4A"/>
          <w:sz w:val="26"/>
          <w:szCs w:val="26"/>
        </w:rPr>
        <w:t xml:space="preserve">1.1  Measures Reference Table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Measure Name</w:t>
            </w:r>
          </w:p>
        </w:tc>
        <w:tc>
          <w:tcPr>
            <w:tcW w:type="dxa" w:w="3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DAX Formula</w:t>
            </w:r>
          </w:p>
        </w:tc>
        <w:tc>
          <w:tcPr>
            <w:tcW w:type="dxa" w:w="3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Business Purpose</w:t>
            </w:r>
          </w:p>
        </w:tc>
      </w:tr>
      <w:tr>
        <w:tc>
          <w:tcPr>
            <w:tcW w:type="dxa" w:w="2400"/>
            <w:tcBorders>
              <w:top w:val="single" w:color="D0D5E0" w:sz="1"/>
              <w:left w:val="single" w:color="D0D5E0" w:sz="1"/>
              <w:bottom w:val="single" w:color="D0D5E0" w:sz="1"/>
              <w:right w:val="single" w:color="D0D5E0"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Total Sales</w:t>
            </w:r>
          </w:p>
        </w:tc>
        <w:tc>
          <w:tcPr>
            <w:tcW w:type="dxa" w:w="3560"/>
            <w:tcBorders>
              <w:top w:val="single" w:color="D0D5E0" w:sz="1"/>
              <w:left w:val="single" w:color="D0D5E0" w:sz="1"/>
              <w:bottom w:val="single" w:color="D0D5E0" w:sz="1"/>
              <w:right w:val="single" w:color="D0D5E0" w:sz="1"/>
            </w:tcBorders>
            <w:shd w:fill="EBF0F8" w:val="clear"/>
            <w:tcMar>
              <w:top w:type="dxa" w:w="100"/>
              <w:left w:type="dxa" w:w="140"/>
              <w:bottom w:type="dxa" w:w="100"/>
              <w:right w:type="dxa" w:w="140"/>
            </w:tcMar>
          </w:tcPr>
          <w:p>
            <w:r>
              <w:rPr>
                <w:rFonts w:ascii="Courier New" w:cs="Courier New" w:eastAsia="Courier New" w:hAnsi="Courier New"/>
                <w:color w:val="1A3A6E"/>
                <w:sz w:val="18"/>
                <w:szCs w:val="18"/>
              </w:rPr>
              <w:t xml:space="preserve">SUM('Sales Agent'[Total Sales])</w:t>
            </w:r>
          </w:p>
        </w:tc>
        <w:tc>
          <w:tcPr>
            <w:tcW w:type="dxa" w:w="3400"/>
            <w:tcBorders>
              <w:top w:val="single" w:color="D0D5E0" w:sz="1"/>
              <w:left w:val="single" w:color="D0D5E0" w:sz="1"/>
              <w:bottom w:val="single" w:color="D0D5E0" w:sz="1"/>
              <w:right w:val="single" w:color="D0D5E0" w:sz="1"/>
            </w:tcBorders>
            <w:shd w:fill="F5F7FA" w:val="clear"/>
            <w:tcMar>
              <w:top w:type="dxa" w:w="100"/>
              <w:left w:type="dxa" w:w="140"/>
              <w:bottom w:type="dxa" w:w="100"/>
              <w:right w:type="dxa" w:w="140"/>
            </w:tcMar>
          </w:tcPr>
          <w:p>
            <w:r>
              <w:rPr>
                <w:rFonts w:ascii="Arial" w:cs="Arial" w:eastAsia="Arial" w:hAnsi="Arial"/>
                <w:color w:val="4A5568"/>
                <w:sz w:val="19"/>
                <w:szCs w:val="19"/>
              </w:rPr>
              <w:t xml:space="preserve">Aggregate total revenue across all sales transactions.</w:t>
            </w:r>
          </w:p>
        </w:tc>
      </w:tr>
      <w:tr>
        <w:tc>
          <w:tcPr>
            <w:tcW w:type="dxa" w:w="2400"/>
            <w:tcBorders>
              <w:top w:val="single" w:color="D0D5E0" w:sz="1"/>
              <w:left w:val="single" w:color="D0D5E0" w:sz="1"/>
              <w:bottom w:val="single" w:color="D0D5E0" w:sz="1"/>
              <w:right w:val="single" w:color="D0D5E0" w:sz="1"/>
            </w:tcBorders>
            <w:shd w:fill="F5F7FA" w:val="clear"/>
            <w:tcMar>
              <w:top w:type="dxa" w:w="100"/>
              <w:left w:type="dxa" w:w="140"/>
              <w:bottom w:type="dxa" w:w="100"/>
              <w:right w:type="dxa" w:w="140"/>
            </w:tcMar>
          </w:tcPr>
          <w:p>
            <w:r>
              <w:rPr>
                <w:rFonts w:ascii="Arial" w:cs="Arial" w:eastAsia="Arial" w:hAnsi="Arial"/>
                <w:b/>
                <w:bCs/>
                <w:color w:val="1B2A4A"/>
                <w:sz w:val="20"/>
                <w:szCs w:val="20"/>
              </w:rPr>
              <w:t xml:space="preserve">Total Units Sold</w:t>
            </w:r>
          </w:p>
        </w:tc>
        <w:tc>
          <w:tcPr>
            <w:tcW w:type="dxa" w:w="3560"/>
            <w:tcBorders>
              <w:top w:val="single" w:color="D0D5E0" w:sz="1"/>
              <w:left w:val="single" w:color="D0D5E0" w:sz="1"/>
              <w:bottom w:val="single" w:color="D0D5E0" w:sz="1"/>
              <w:right w:val="single" w:color="D0D5E0" w:sz="1"/>
            </w:tcBorders>
            <w:shd w:fill="EBF0F8" w:val="clear"/>
            <w:tcMar>
              <w:top w:type="dxa" w:w="100"/>
              <w:left w:type="dxa" w:w="140"/>
              <w:bottom w:type="dxa" w:w="100"/>
              <w:right w:type="dxa" w:w="140"/>
            </w:tcMar>
          </w:tcPr>
          <w:p>
            <w:r>
              <w:rPr>
                <w:rFonts w:ascii="Courier New" w:cs="Courier New" w:eastAsia="Courier New" w:hAnsi="Courier New"/>
                <w:color w:val="1A3A6E"/>
                <w:sz w:val="18"/>
                <w:szCs w:val="18"/>
              </w:rPr>
              <w:t xml:space="preserve">SUM('Sales Agent'[UnitsSold])</w:t>
            </w:r>
          </w:p>
        </w:tc>
        <w:tc>
          <w:tcPr>
            <w:tcW w:type="dxa" w:w="3400"/>
            <w:tcBorders>
              <w:top w:val="single" w:color="D0D5E0" w:sz="1"/>
              <w:left w:val="single" w:color="D0D5E0" w:sz="1"/>
              <w:bottom w:val="single" w:color="D0D5E0" w:sz="1"/>
              <w:right w:val="single" w:color="D0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Total drug units sold across all agents, regions, and channels.</w:t>
            </w:r>
          </w:p>
        </w:tc>
      </w:tr>
      <w:tr>
        <w:tc>
          <w:tcPr>
            <w:tcW w:type="dxa" w:w="2400"/>
            <w:tcBorders>
              <w:top w:val="single" w:color="D0D5E0" w:sz="1"/>
              <w:left w:val="single" w:color="D0D5E0" w:sz="1"/>
              <w:bottom w:val="single" w:color="D0D5E0" w:sz="1"/>
              <w:right w:val="single" w:color="D0D5E0"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Total Stock</w:t>
            </w:r>
          </w:p>
        </w:tc>
        <w:tc>
          <w:tcPr>
            <w:tcW w:type="dxa" w:w="3560"/>
            <w:tcBorders>
              <w:top w:val="single" w:color="D0D5E0" w:sz="1"/>
              <w:left w:val="single" w:color="D0D5E0" w:sz="1"/>
              <w:bottom w:val="single" w:color="D0D5E0" w:sz="1"/>
              <w:right w:val="single" w:color="D0D5E0" w:sz="1"/>
            </w:tcBorders>
            <w:shd w:fill="EBF0F8" w:val="clear"/>
            <w:tcMar>
              <w:top w:type="dxa" w:w="100"/>
              <w:left w:type="dxa" w:w="140"/>
              <w:bottom w:type="dxa" w:w="100"/>
              <w:right w:type="dxa" w:w="140"/>
            </w:tcMar>
          </w:tcPr>
          <w:p>
            <w:r>
              <w:rPr>
                <w:rFonts w:ascii="Courier New" w:cs="Courier New" w:eastAsia="Courier New" w:hAnsi="Courier New"/>
                <w:color w:val="1A3A6E"/>
                <w:sz w:val="18"/>
                <w:szCs w:val="18"/>
              </w:rPr>
              <w:t xml:space="preserve">SUM(Inventory[StockLevel])</w:t>
            </w:r>
          </w:p>
        </w:tc>
        <w:tc>
          <w:tcPr>
            <w:tcW w:type="dxa" w:w="3400"/>
            <w:tcBorders>
              <w:top w:val="single" w:color="D0D5E0" w:sz="1"/>
              <w:left w:val="single" w:color="D0D5E0" w:sz="1"/>
              <w:bottom w:val="single" w:color="D0D5E0" w:sz="1"/>
              <w:right w:val="single" w:color="D0D5E0" w:sz="1"/>
            </w:tcBorders>
            <w:shd w:fill="F5F7FA" w:val="clear"/>
            <w:tcMar>
              <w:top w:type="dxa" w:w="100"/>
              <w:left w:type="dxa" w:w="140"/>
              <w:bottom w:type="dxa" w:w="100"/>
              <w:right w:type="dxa" w:w="140"/>
            </w:tcMar>
          </w:tcPr>
          <w:p>
            <w:r>
              <w:rPr>
                <w:rFonts w:ascii="Arial" w:cs="Arial" w:eastAsia="Arial" w:hAnsi="Arial"/>
                <w:color w:val="4A5568"/>
                <w:sz w:val="19"/>
                <w:szCs w:val="19"/>
              </w:rPr>
              <w:t xml:space="preserve">Total inventory units held across all warehouses and suppliers.</w:t>
            </w:r>
          </w:p>
        </w:tc>
      </w:tr>
      <w:tr>
        <w:tc>
          <w:tcPr>
            <w:tcW w:type="dxa" w:w="2400"/>
            <w:tcBorders>
              <w:top w:val="single" w:color="D0D5E0" w:sz="1"/>
              <w:left w:val="single" w:color="D0D5E0" w:sz="1"/>
              <w:bottom w:val="single" w:color="D0D5E0" w:sz="1"/>
              <w:right w:val="single" w:color="D0D5E0" w:sz="1"/>
            </w:tcBorders>
            <w:shd w:fill="F5F7FA" w:val="clear"/>
            <w:tcMar>
              <w:top w:type="dxa" w:w="100"/>
              <w:left w:type="dxa" w:w="140"/>
              <w:bottom w:type="dxa" w:w="100"/>
              <w:right w:type="dxa" w:w="140"/>
            </w:tcMar>
          </w:tcPr>
          <w:p>
            <w:r>
              <w:rPr>
                <w:rFonts w:ascii="Arial" w:cs="Arial" w:eastAsia="Arial" w:hAnsi="Arial"/>
                <w:b/>
                <w:bCs/>
                <w:color w:val="1B2A4A"/>
                <w:sz w:val="20"/>
                <w:szCs w:val="20"/>
              </w:rPr>
              <w:t xml:space="preserve">Sold Stock</w:t>
            </w:r>
          </w:p>
        </w:tc>
        <w:tc>
          <w:tcPr>
            <w:tcW w:type="dxa" w:w="3560"/>
            <w:tcBorders>
              <w:top w:val="single" w:color="D0D5E0" w:sz="1"/>
              <w:left w:val="single" w:color="D0D5E0" w:sz="1"/>
              <w:bottom w:val="single" w:color="D0D5E0" w:sz="1"/>
              <w:right w:val="single" w:color="D0D5E0" w:sz="1"/>
            </w:tcBorders>
            <w:shd w:fill="EBF0F8" w:val="clear"/>
            <w:tcMar>
              <w:top w:type="dxa" w:w="100"/>
              <w:left w:type="dxa" w:w="140"/>
              <w:bottom w:type="dxa" w:w="100"/>
              <w:right w:type="dxa" w:w="140"/>
            </w:tcMar>
          </w:tcPr>
          <w:p>
            <w:r>
              <w:rPr>
                <w:rFonts w:ascii="Courier New" w:cs="Courier New" w:eastAsia="Courier New" w:hAnsi="Courier New"/>
                <w:color w:val="1A3A6E"/>
                <w:sz w:val="18"/>
                <w:szCs w:val="18"/>
              </w:rPr>
              <w:t xml:space="preserve">SUM('Sales Agent'[UnitsSold])</w:t>
            </w:r>
          </w:p>
        </w:tc>
        <w:tc>
          <w:tcPr>
            <w:tcW w:type="dxa" w:w="3400"/>
            <w:tcBorders>
              <w:top w:val="single" w:color="D0D5E0" w:sz="1"/>
              <w:left w:val="single" w:color="D0D5E0" w:sz="1"/>
              <w:bottom w:val="single" w:color="D0D5E0" w:sz="1"/>
              <w:right w:val="single" w:color="D0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Units dispatched from inventory, used in stock availability calculation.</w:t>
            </w:r>
          </w:p>
        </w:tc>
      </w:tr>
      <w:tr>
        <w:tc>
          <w:tcPr>
            <w:tcW w:type="dxa" w:w="2400"/>
            <w:tcBorders>
              <w:top w:val="single" w:color="D0D5E0" w:sz="1"/>
              <w:left w:val="single" w:color="D0D5E0" w:sz="1"/>
              <w:bottom w:val="single" w:color="D0D5E0" w:sz="1"/>
              <w:right w:val="single" w:color="D0D5E0"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Returned Units</w:t>
            </w:r>
          </w:p>
        </w:tc>
        <w:tc>
          <w:tcPr>
            <w:tcW w:type="dxa" w:w="3560"/>
            <w:tcBorders>
              <w:top w:val="single" w:color="D0D5E0" w:sz="1"/>
              <w:left w:val="single" w:color="D0D5E0" w:sz="1"/>
              <w:bottom w:val="single" w:color="D0D5E0" w:sz="1"/>
              <w:right w:val="single" w:color="D0D5E0" w:sz="1"/>
            </w:tcBorders>
            <w:shd w:fill="EBF0F8" w:val="clear"/>
            <w:tcMar>
              <w:top w:type="dxa" w:w="100"/>
              <w:left w:type="dxa" w:w="140"/>
              <w:bottom w:type="dxa" w:w="100"/>
              <w:right w:type="dxa" w:w="140"/>
            </w:tcMar>
          </w:tcPr>
          <w:p>
            <w:r>
              <w:rPr>
                <w:rFonts w:ascii="Courier New" w:cs="Courier New" w:eastAsia="Courier New" w:hAnsi="Courier New"/>
                <w:color w:val="1A3A6E"/>
                <w:sz w:val="18"/>
                <w:szCs w:val="18"/>
              </w:rPr>
              <w:t xml:space="preserve">SUM('Sales Agent'[ReturnedUnits])</w:t>
            </w:r>
          </w:p>
        </w:tc>
        <w:tc>
          <w:tcPr>
            <w:tcW w:type="dxa" w:w="3400"/>
            <w:tcBorders>
              <w:top w:val="single" w:color="D0D5E0" w:sz="1"/>
              <w:left w:val="single" w:color="D0D5E0" w:sz="1"/>
              <w:bottom w:val="single" w:color="D0D5E0" w:sz="1"/>
              <w:right w:val="single" w:color="D0D5E0" w:sz="1"/>
            </w:tcBorders>
            <w:shd w:fill="F5F7FA" w:val="clear"/>
            <w:tcMar>
              <w:top w:type="dxa" w:w="100"/>
              <w:left w:type="dxa" w:w="140"/>
              <w:bottom w:type="dxa" w:w="100"/>
              <w:right w:type="dxa" w:w="140"/>
            </w:tcMar>
          </w:tcPr>
          <w:p>
            <w:r>
              <w:rPr>
                <w:rFonts w:ascii="Arial" w:cs="Arial" w:eastAsia="Arial" w:hAnsi="Arial"/>
                <w:color w:val="4A5568"/>
                <w:sz w:val="19"/>
                <w:szCs w:val="19"/>
              </w:rPr>
              <w:t xml:space="preserve">Total units returned by customers due to damage, expiry, or other reasons.</w:t>
            </w:r>
          </w:p>
        </w:tc>
      </w:tr>
      <w:tr>
        <w:tc>
          <w:tcPr>
            <w:tcW w:type="dxa" w:w="2400"/>
            <w:tcBorders>
              <w:top w:val="single" w:color="D0D5E0" w:sz="1"/>
              <w:left w:val="single" w:color="D0D5E0" w:sz="1"/>
              <w:bottom w:val="single" w:color="D0D5E0" w:sz="1"/>
              <w:right w:val="single" w:color="D0D5E0" w:sz="1"/>
            </w:tcBorders>
            <w:shd w:fill="F5F7FA" w:val="clear"/>
            <w:tcMar>
              <w:top w:type="dxa" w:w="100"/>
              <w:left w:type="dxa" w:w="140"/>
              <w:bottom w:type="dxa" w:w="100"/>
              <w:right w:type="dxa" w:w="140"/>
            </w:tcMar>
          </w:tcPr>
          <w:p>
            <w:r>
              <w:rPr>
                <w:rFonts w:ascii="Arial" w:cs="Arial" w:eastAsia="Arial" w:hAnsi="Arial"/>
                <w:b/>
                <w:bCs/>
                <w:color w:val="1B2A4A"/>
                <w:sz w:val="20"/>
                <w:szCs w:val="20"/>
              </w:rPr>
              <w:t xml:space="preserve">Stock Available</w:t>
            </w:r>
          </w:p>
        </w:tc>
        <w:tc>
          <w:tcPr>
            <w:tcW w:type="dxa" w:w="3560"/>
            <w:tcBorders>
              <w:top w:val="single" w:color="D0D5E0" w:sz="1"/>
              <w:left w:val="single" w:color="D0D5E0" w:sz="1"/>
              <w:bottom w:val="single" w:color="D0D5E0" w:sz="1"/>
              <w:right w:val="single" w:color="D0D5E0" w:sz="1"/>
            </w:tcBorders>
            <w:shd w:fill="EBF0F8" w:val="clear"/>
            <w:tcMar>
              <w:top w:type="dxa" w:w="100"/>
              <w:left w:type="dxa" w:w="140"/>
              <w:bottom w:type="dxa" w:w="100"/>
              <w:right w:type="dxa" w:w="140"/>
            </w:tcMar>
          </w:tcPr>
          <w:p>
            <w:r>
              <w:rPr>
                <w:rFonts w:ascii="Courier New" w:cs="Courier New" w:eastAsia="Courier New" w:hAnsi="Courier New"/>
                <w:color w:val="1A3A6E"/>
                <w:sz w:val="18"/>
                <w:szCs w:val="18"/>
              </w:rPr>
              <w:t xml:space="preserve">[Total Stock] - [Sold Stock] - [Returned Units]</w:t>
            </w:r>
          </w:p>
        </w:tc>
        <w:tc>
          <w:tcPr>
            <w:tcW w:type="dxa" w:w="3400"/>
            <w:tcBorders>
              <w:top w:val="single" w:color="D0D5E0" w:sz="1"/>
              <w:left w:val="single" w:color="D0D5E0" w:sz="1"/>
              <w:bottom w:val="single" w:color="D0D5E0" w:sz="1"/>
              <w:right w:val="single" w:color="D0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Real-time stock on hand; drives inventory alerts and replenishment decisions.</w:t>
            </w:r>
          </w:p>
        </w:tc>
      </w:tr>
      <w:tr>
        <w:tc>
          <w:tcPr>
            <w:tcW w:type="dxa" w:w="2400"/>
            <w:tcBorders>
              <w:top w:val="single" w:color="D0D5E0" w:sz="1"/>
              <w:left w:val="single" w:color="D0D5E0" w:sz="1"/>
              <w:bottom w:val="single" w:color="D0D5E0" w:sz="1"/>
              <w:right w:val="single" w:color="D0D5E0"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Revenue Planning</w:t>
            </w:r>
          </w:p>
        </w:tc>
        <w:tc>
          <w:tcPr>
            <w:tcW w:type="dxa" w:w="3560"/>
            <w:tcBorders>
              <w:top w:val="single" w:color="D0D5E0" w:sz="1"/>
              <w:left w:val="single" w:color="D0D5E0" w:sz="1"/>
              <w:bottom w:val="single" w:color="D0D5E0" w:sz="1"/>
              <w:right w:val="single" w:color="D0D5E0" w:sz="1"/>
            </w:tcBorders>
            <w:shd w:fill="EBF0F8" w:val="clear"/>
            <w:tcMar>
              <w:top w:type="dxa" w:w="100"/>
              <w:left w:type="dxa" w:w="140"/>
              <w:bottom w:type="dxa" w:w="100"/>
              <w:right w:type="dxa" w:w="140"/>
            </w:tcMar>
          </w:tcPr>
          <w:p>
            <w:r>
              <w:rPr>
                <w:rFonts w:ascii="Courier New" w:cs="Courier New" w:eastAsia="Courier New" w:hAnsi="Courier New"/>
                <w:color w:val="1A3A6E"/>
                <w:sz w:val="18"/>
                <w:szCs w:val="18"/>
              </w:rPr>
              <w:t xml:space="preserve">[Stock Available] * AVERAGE('Sales Agent'[UnitPrice])</w:t>
            </w:r>
          </w:p>
        </w:tc>
        <w:tc>
          <w:tcPr>
            <w:tcW w:type="dxa" w:w="3400"/>
            <w:tcBorders>
              <w:top w:val="single" w:color="D0D5E0" w:sz="1"/>
              <w:left w:val="single" w:color="D0D5E0" w:sz="1"/>
              <w:bottom w:val="single" w:color="D0D5E0" w:sz="1"/>
              <w:right w:val="single" w:color="D0D5E0" w:sz="1"/>
            </w:tcBorders>
            <w:shd w:fill="F5F7FA" w:val="clear"/>
            <w:tcMar>
              <w:top w:type="dxa" w:w="100"/>
              <w:left w:type="dxa" w:w="140"/>
              <w:bottom w:type="dxa" w:w="100"/>
              <w:right w:type="dxa" w:w="140"/>
            </w:tcMar>
          </w:tcPr>
          <w:p>
            <w:r>
              <w:rPr>
                <w:rFonts w:ascii="Arial" w:cs="Arial" w:eastAsia="Arial" w:hAnsi="Arial"/>
                <w:color w:val="4A5568"/>
                <w:sz w:val="19"/>
                <w:szCs w:val="19"/>
              </w:rPr>
              <w:t xml:space="preserve">Estimates potential future revenue from current available inventory.</w:t>
            </w:r>
          </w:p>
        </w:tc>
      </w:tr>
      <w:tr>
        <w:tc>
          <w:tcPr>
            <w:tcW w:type="dxa" w:w="2400"/>
            <w:tcBorders>
              <w:top w:val="single" w:color="D0D5E0" w:sz="1"/>
              <w:left w:val="single" w:color="D0D5E0" w:sz="1"/>
              <w:bottom w:val="single" w:color="D0D5E0" w:sz="1"/>
              <w:right w:val="single" w:color="D0D5E0" w:sz="1"/>
            </w:tcBorders>
            <w:shd w:fill="F5F7FA" w:val="clear"/>
            <w:tcMar>
              <w:top w:type="dxa" w:w="100"/>
              <w:left w:type="dxa" w:w="140"/>
              <w:bottom w:type="dxa" w:w="100"/>
              <w:right w:type="dxa" w:w="140"/>
            </w:tcMar>
          </w:tcPr>
          <w:p>
            <w:r>
              <w:rPr>
                <w:rFonts w:ascii="Arial" w:cs="Arial" w:eastAsia="Arial" w:hAnsi="Arial"/>
                <w:b/>
                <w:bCs/>
                <w:color w:val="1B2A4A"/>
                <w:sz w:val="20"/>
                <w:szCs w:val="20"/>
              </w:rPr>
              <w:t xml:space="preserve">Gross Profit</w:t>
            </w:r>
          </w:p>
        </w:tc>
        <w:tc>
          <w:tcPr>
            <w:tcW w:type="dxa" w:w="3560"/>
            <w:tcBorders>
              <w:top w:val="single" w:color="D0D5E0" w:sz="1"/>
              <w:left w:val="single" w:color="D0D5E0" w:sz="1"/>
              <w:bottom w:val="single" w:color="D0D5E0" w:sz="1"/>
              <w:right w:val="single" w:color="D0D5E0" w:sz="1"/>
            </w:tcBorders>
            <w:shd w:fill="EBF0F8" w:val="clear"/>
            <w:tcMar>
              <w:top w:type="dxa" w:w="100"/>
              <w:left w:type="dxa" w:w="140"/>
              <w:bottom w:type="dxa" w:w="100"/>
              <w:right w:type="dxa" w:w="140"/>
            </w:tcMar>
          </w:tcPr>
          <w:p>
            <w:r>
              <w:rPr>
                <w:rFonts w:ascii="Courier New" w:cs="Courier New" w:eastAsia="Courier New" w:hAnsi="Courier New"/>
                <w:color w:val="1A3A6E"/>
                <w:sz w:val="18"/>
                <w:szCs w:val="18"/>
              </w:rPr>
              <w:t xml:space="preserve">SUMX('Sales Agent', [UnitsSold]*([UnitPrice]-[CostPerUnit]))</w:t>
            </w:r>
          </w:p>
        </w:tc>
        <w:tc>
          <w:tcPr>
            <w:tcW w:type="dxa" w:w="3400"/>
            <w:tcBorders>
              <w:top w:val="single" w:color="D0D5E0" w:sz="1"/>
              <w:left w:val="single" w:color="D0D5E0" w:sz="1"/>
              <w:bottom w:val="single" w:color="D0D5E0" w:sz="1"/>
              <w:right w:val="single" w:color="D0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Total profit after deducting cost of goods sold from revenue.</w:t>
            </w:r>
          </w:p>
        </w:tc>
      </w:tr>
      <w:tr>
        <w:tc>
          <w:tcPr>
            <w:tcW w:type="dxa" w:w="2400"/>
            <w:tcBorders>
              <w:top w:val="single" w:color="D0D5E0" w:sz="1"/>
              <w:left w:val="single" w:color="D0D5E0" w:sz="1"/>
              <w:bottom w:val="single" w:color="D0D5E0" w:sz="1"/>
              <w:right w:val="single" w:color="D0D5E0"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Net Sales</w:t>
            </w:r>
          </w:p>
        </w:tc>
        <w:tc>
          <w:tcPr>
            <w:tcW w:type="dxa" w:w="3560"/>
            <w:tcBorders>
              <w:top w:val="single" w:color="D0D5E0" w:sz="1"/>
              <w:left w:val="single" w:color="D0D5E0" w:sz="1"/>
              <w:bottom w:val="single" w:color="D0D5E0" w:sz="1"/>
              <w:right w:val="single" w:color="D0D5E0" w:sz="1"/>
            </w:tcBorders>
            <w:shd w:fill="EBF0F8" w:val="clear"/>
            <w:tcMar>
              <w:top w:type="dxa" w:w="100"/>
              <w:left w:type="dxa" w:w="140"/>
              <w:bottom w:type="dxa" w:w="100"/>
              <w:right w:type="dxa" w:w="140"/>
            </w:tcMar>
          </w:tcPr>
          <w:p>
            <w:r>
              <w:rPr>
                <w:rFonts w:ascii="Courier New" w:cs="Courier New" w:eastAsia="Courier New" w:hAnsi="Courier New"/>
                <w:color w:val="1A3A6E"/>
                <w:sz w:val="18"/>
                <w:szCs w:val="18"/>
              </w:rPr>
              <w:t xml:space="preserve">[Total Sales] - ([Returned Units]*AVERAGE([UnitPrice]))</w:t>
            </w:r>
          </w:p>
        </w:tc>
        <w:tc>
          <w:tcPr>
            <w:tcW w:type="dxa" w:w="3400"/>
            <w:tcBorders>
              <w:top w:val="single" w:color="D0D5E0" w:sz="1"/>
              <w:left w:val="single" w:color="D0D5E0" w:sz="1"/>
              <w:bottom w:val="single" w:color="D0D5E0" w:sz="1"/>
              <w:right w:val="single" w:color="D0D5E0" w:sz="1"/>
            </w:tcBorders>
            <w:shd w:fill="F5F7FA" w:val="clear"/>
            <w:tcMar>
              <w:top w:type="dxa" w:w="100"/>
              <w:left w:type="dxa" w:w="140"/>
              <w:bottom w:type="dxa" w:w="100"/>
              <w:right w:type="dxa" w:w="140"/>
            </w:tcMar>
          </w:tcPr>
          <w:p>
            <w:r>
              <w:rPr>
                <w:rFonts w:ascii="Arial" w:cs="Arial" w:eastAsia="Arial" w:hAnsi="Arial"/>
                <w:color w:val="4A5568"/>
                <w:sz w:val="19"/>
                <w:szCs w:val="19"/>
              </w:rPr>
              <w:t xml:space="preserve">Revenue adjusted for product returns; more accurate than gross sales.</w:t>
            </w:r>
          </w:p>
        </w:tc>
      </w:tr>
      <w:tr>
        <w:tc>
          <w:tcPr>
            <w:tcW w:type="dxa" w:w="2400"/>
            <w:tcBorders>
              <w:top w:val="single" w:color="D0D5E0" w:sz="1"/>
              <w:left w:val="single" w:color="D0D5E0" w:sz="1"/>
              <w:bottom w:val="single" w:color="D0D5E0" w:sz="1"/>
              <w:right w:val="single" w:color="D0D5E0" w:sz="1"/>
            </w:tcBorders>
            <w:shd w:fill="F5F7FA" w:val="clear"/>
            <w:tcMar>
              <w:top w:type="dxa" w:w="100"/>
              <w:left w:type="dxa" w:w="140"/>
              <w:bottom w:type="dxa" w:w="100"/>
              <w:right w:type="dxa" w:w="140"/>
            </w:tcMar>
          </w:tcPr>
          <w:p>
            <w:r>
              <w:rPr>
                <w:rFonts w:ascii="Arial" w:cs="Arial" w:eastAsia="Arial" w:hAnsi="Arial"/>
                <w:b/>
                <w:bCs/>
                <w:color w:val="1B2A4A"/>
                <w:sz w:val="20"/>
                <w:szCs w:val="20"/>
              </w:rPr>
              <w:t xml:space="preserve">Profit Margin %</w:t>
            </w:r>
          </w:p>
        </w:tc>
        <w:tc>
          <w:tcPr>
            <w:tcW w:type="dxa" w:w="3560"/>
            <w:tcBorders>
              <w:top w:val="single" w:color="D0D5E0" w:sz="1"/>
              <w:left w:val="single" w:color="D0D5E0" w:sz="1"/>
              <w:bottom w:val="single" w:color="D0D5E0" w:sz="1"/>
              <w:right w:val="single" w:color="D0D5E0" w:sz="1"/>
            </w:tcBorders>
            <w:shd w:fill="EBF0F8" w:val="clear"/>
            <w:tcMar>
              <w:top w:type="dxa" w:w="100"/>
              <w:left w:type="dxa" w:w="140"/>
              <w:bottom w:type="dxa" w:w="100"/>
              <w:right w:type="dxa" w:w="140"/>
            </w:tcMar>
          </w:tcPr>
          <w:p>
            <w:r>
              <w:rPr>
                <w:rFonts w:ascii="Courier New" w:cs="Courier New" w:eastAsia="Courier New" w:hAnsi="Courier New"/>
                <w:color w:val="1A3A6E"/>
                <w:sz w:val="18"/>
                <w:szCs w:val="18"/>
              </w:rPr>
              <w:t xml:space="preserve">DIVIDE([Gross Profit], [Total Sales], 0)</w:t>
            </w:r>
          </w:p>
        </w:tc>
        <w:tc>
          <w:tcPr>
            <w:tcW w:type="dxa" w:w="3400"/>
            <w:tcBorders>
              <w:top w:val="single" w:color="D0D5E0" w:sz="1"/>
              <w:left w:val="single" w:color="D0D5E0" w:sz="1"/>
              <w:bottom w:val="single" w:color="D0D5E0" w:sz="1"/>
              <w:right w:val="single" w:color="D0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Gross profit as a percentage of total sales; key profitability KPI.</w:t>
            </w:r>
          </w:p>
        </w:tc>
      </w:tr>
      <w:tr>
        <w:tc>
          <w:tcPr>
            <w:tcW w:type="dxa" w:w="2400"/>
            <w:tcBorders>
              <w:top w:val="single" w:color="D0D5E0" w:sz="1"/>
              <w:left w:val="single" w:color="D0D5E0" w:sz="1"/>
              <w:bottom w:val="single" w:color="D0D5E0" w:sz="1"/>
              <w:right w:val="single" w:color="D0D5E0"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On-Time Delivery Rate</w:t>
            </w:r>
          </w:p>
        </w:tc>
        <w:tc>
          <w:tcPr>
            <w:tcW w:type="dxa" w:w="3560"/>
            <w:tcBorders>
              <w:top w:val="single" w:color="D0D5E0" w:sz="1"/>
              <w:left w:val="single" w:color="D0D5E0" w:sz="1"/>
              <w:bottom w:val="single" w:color="D0D5E0" w:sz="1"/>
              <w:right w:val="single" w:color="D0D5E0" w:sz="1"/>
            </w:tcBorders>
            <w:shd w:fill="EBF0F8" w:val="clear"/>
            <w:tcMar>
              <w:top w:type="dxa" w:w="100"/>
              <w:left w:type="dxa" w:w="140"/>
              <w:bottom w:type="dxa" w:w="100"/>
              <w:right w:type="dxa" w:w="140"/>
            </w:tcMar>
          </w:tcPr>
          <w:p>
            <w:r>
              <w:rPr>
                <w:rFonts w:ascii="Courier New" w:cs="Courier New" w:eastAsia="Courier New" w:hAnsi="Courier New"/>
                <w:color w:val="1A3A6E"/>
                <w:sz w:val="18"/>
                <w:szCs w:val="18"/>
              </w:rPr>
              <w:t xml:space="preserve">AVERAGE(Supplier[OnTimeDeliveryRate])</w:t>
            </w:r>
          </w:p>
        </w:tc>
        <w:tc>
          <w:tcPr>
            <w:tcW w:type="dxa" w:w="3400"/>
            <w:tcBorders>
              <w:top w:val="single" w:color="D0D5E0" w:sz="1"/>
              <w:left w:val="single" w:color="D0D5E0" w:sz="1"/>
              <w:bottom w:val="single" w:color="D0D5E0" w:sz="1"/>
              <w:right w:val="single" w:color="D0D5E0" w:sz="1"/>
            </w:tcBorders>
            <w:shd w:fill="F5F7FA" w:val="clear"/>
            <w:tcMar>
              <w:top w:type="dxa" w:w="100"/>
              <w:left w:type="dxa" w:w="140"/>
              <w:bottom w:type="dxa" w:w="100"/>
              <w:right w:type="dxa" w:w="140"/>
            </w:tcMar>
          </w:tcPr>
          <w:p>
            <w:r>
              <w:rPr>
                <w:rFonts w:ascii="Arial" w:cs="Arial" w:eastAsia="Arial" w:hAnsi="Arial"/>
                <w:color w:val="4A5568"/>
                <w:sz w:val="19"/>
                <w:szCs w:val="19"/>
              </w:rPr>
              <w:t xml:space="preserve">Average supplier delivery performance across all preferred and non-preferred vendors.</w:t>
            </w:r>
          </w:p>
        </w:tc>
      </w:tr>
      <w:tr>
        <w:tc>
          <w:tcPr>
            <w:tcW w:type="dxa" w:w="2400"/>
            <w:tcBorders>
              <w:top w:val="single" w:color="D0D5E0" w:sz="1"/>
              <w:left w:val="single" w:color="D0D5E0" w:sz="1"/>
              <w:bottom w:val="single" w:color="D0D5E0" w:sz="1"/>
              <w:right w:val="single" w:color="D0D5E0" w:sz="1"/>
            </w:tcBorders>
            <w:shd w:fill="F5F7FA" w:val="clear"/>
            <w:tcMar>
              <w:top w:type="dxa" w:w="100"/>
              <w:left w:type="dxa" w:w="140"/>
              <w:bottom w:type="dxa" w:w="100"/>
              <w:right w:type="dxa" w:w="140"/>
            </w:tcMar>
          </w:tcPr>
          <w:p>
            <w:r>
              <w:rPr>
                <w:rFonts w:ascii="Arial" w:cs="Arial" w:eastAsia="Arial" w:hAnsi="Arial"/>
                <w:b/>
                <w:bCs/>
                <w:color w:val="1B2A4A"/>
                <w:sz w:val="20"/>
                <w:szCs w:val="20"/>
              </w:rPr>
              <w:t xml:space="preserve">YoY Growth %</w:t>
            </w:r>
          </w:p>
        </w:tc>
        <w:tc>
          <w:tcPr>
            <w:tcW w:type="dxa" w:w="3560"/>
            <w:tcBorders>
              <w:top w:val="single" w:color="D0D5E0" w:sz="1"/>
              <w:left w:val="single" w:color="D0D5E0" w:sz="1"/>
              <w:bottom w:val="single" w:color="D0D5E0" w:sz="1"/>
              <w:right w:val="single" w:color="D0D5E0" w:sz="1"/>
            </w:tcBorders>
            <w:shd w:fill="EBF0F8" w:val="clear"/>
            <w:tcMar>
              <w:top w:type="dxa" w:w="100"/>
              <w:left w:type="dxa" w:w="140"/>
              <w:bottom w:type="dxa" w:w="100"/>
              <w:right w:type="dxa" w:w="140"/>
            </w:tcMar>
          </w:tcPr>
          <w:p>
            <w:r>
              <w:rPr>
                <w:rFonts w:ascii="Courier New" w:cs="Courier New" w:eastAsia="Courier New" w:hAnsi="Courier New"/>
                <w:color w:val="1A3A6E"/>
                <w:sz w:val="18"/>
                <w:szCs w:val="18"/>
              </w:rPr>
              <w:t xml:space="preserve">DIVIDE([Total Sales]-[LY Sales],[LY Sales],0)</w:t>
            </w:r>
          </w:p>
        </w:tc>
        <w:tc>
          <w:tcPr>
            <w:tcW w:type="dxa" w:w="3400"/>
            <w:tcBorders>
              <w:top w:val="single" w:color="D0D5E0" w:sz="1"/>
              <w:left w:val="single" w:color="D0D5E0" w:sz="1"/>
              <w:bottom w:val="single" w:color="D0D5E0" w:sz="1"/>
              <w:right w:val="single" w:color="D0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Year-over-year revenue growth rate using SAMEPERIODLASTYEAR as base.</w:t>
            </w:r>
          </w:p>
        </w:tc>
      </w:tr>
      <w:tr>
        <w:tc>
          <w:tcPr>
            <w:tcW w:type="dxa" w:w="2400"/>
            <w:tcBorders>
              <w:top w:val="single" w:color="D0D5E0" w:sz="1"/>
              <w:left w:val="single" w:color="D0D5E0" w:sz="1"/>
              <w:bottom w:val="single" w:color="D0D5E0" w:sz="1"/>
              <w:right w:val="single" w:color="D0D5E0"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LY Sales</w:t>
            </w:r>
          </w:p>
        </w:tc>
        <w:tc>
          <w:tcPr>
            <w:tcW w:type="dxa" w:w="3560"/>
            <w:tcBorders>
              <w:top w:val="single" w:color="D0D5E0" w:sz="1"/>
              <w:left w:val="single" w:color="D0D5E0" w:sz="1"/>
              <w:bottom w:val="single" w:color="D0D5E0" w:sz="1"/>
              <w:right w:val="single" w:color="D0D5E0" w:sz="1"/>
            </w:tcBorders>
            <w:shd w:fill="EBF0F8" w:val="clear"/>
            <w:tcMar>
              <w:top w:type="dxa" w:w="100"/>
              <w:left w:type="dxa" w:w="140"/>
              <w:bottom w:type="dxa" w:w="100"/>
              <w:right w:type="dxa" w:w="140"/>
            </w:tcMar>
          </w:tcPr>
          <w:p>
            <w:r>
              <w:rPr>
                <w:rFonts w:ascii="Courier New" w:cs="Courier New" w:eastAsia="Courier New" w:hAnsi="Courier New"/>
                <w:color w:val="1A3A6E"/>
                <w:sz w:val="18"/>
                <w:szCs w:val="18"/>
              </w:rPr>
              <w:t xml:space="preserve">CALCULATE([Total Sales], SAMEPERIODLASTYEAR('Date'[Date]))</w:t>
            </w:r>
          </w:p>
        </w:tc>
        <w:tc>
          <w:tcPr>
            <w:tcW w:type="dxa" w:w="3400"/>
            <w:tcBorders>
              <w:top w:val="single" w:color="D0D5E0" w:sz="1"/>
              <w:left w:val="single" w:color="D0D5E0" w:sz="1"/>
              <w:bottom w:val="single" w:color="D0D5E0" w:sz="1"/>
              <w:right w:val="single" w:color="D0D5E0" w:sz="1"/>
            </w:tcBorders>
            <w:shd w:fill="F5F7FA" w:val="clear"/>
            <w:tcMar>
              <w:top w:type="dxa" w:w="100"/>
              <w:left w:type="dxa" w:w="140"/>
              <w:bottom w:type="dxa" w:w="100"/>
              <w:right w:type="dxa" w:w="140"/>
            </w:tcMar>
          </w:tcPr>
          <w:p>
            <w:r>
              <w:rPr>
                <w:rFonts w:ascii="Arial" w:cs="Arial" w:eastAsia="Arial" w:hAnsi="Arial"/>
                <w:color w:val="4A5568"/>
                <w:sz w:val="19"/>
                <w:szCs w:val="19"/>
              </w:rPr>
              <w:t xml:space="preserve">Last year's total sales for the same period — used in YoY growth calculation.</w:t>
            </w:r>
          </w:p>
        </w:tc>
      </w:tr>
      <w:tr>
        <w:tc>
          <w:tcPr>
            <w:tcW w:type="dxa" w:w="2400"/>
            <w:tcBorders>
              <w:top w:val="single" w:color="D0D5E0" w:sz="1"/>
              <w:left w:val="single" w:color="D0D5E0" w:sz="1"/>
              <w:bottom w:val="single" w:color="D0D5E0" w:sz="1"/>
              <w:right w:val="single" w:color="D0D5E0" w:sz="1"/>
            </w:tcBorders>
            <w:shd w:fill="F5F7FA" w:val="clear"/>
            <w:tcMar>
              <w:top w:type="dxa" w:w="100"/>
              <w:left w:type="dxa" w:w="140"/>
              <w:bottom w:type="dxa" w:w="100"/>
              <w:right w:type="dxa" w:w="140"/>
            </w:tcMar>
          </w:tcPr>
          <w:p>
            <w:r>
              <w:rPr>
                <w:rFonts w:ascii="Arial" w:cs="Arial" w:eastAsia="Arial" w:hAnsi="Arial"/>
                <w:b/>
                <w:bCs/>
                <w:color w:val="1B2A4A"/>
                <w:sz w:val="20"/>
                <w:szCs w:val="20"/>
              </w:rPr>
              <w:t xml:space="preserve">Sales by Agent</w:t>
            </w:r>
          </w:p>
        </w:tc>
        <w:tc>
          <w:tcPr>
            <w:tcW w:type="dxa" w:w="3560"/>
            <w:tcBorders>
              <w:top w:val="single" w:color="D0D5E0" w:sz="1"/>
              <w:left w:val="single" w:color="D0D5E0" w:sz="1"/>
              <w:bottom w:val="single" w:color="D0D5E0" w:sz="1"/>
              <w:right w:val="single" w:color="D0D5E0" w:sz="1"/>
            </w:tcBorders>
            <w:shd w:fill="EBF0F8" w:val="clear"/>
            <w:tcMar>
              <w:top w:type="dxa" w:w="100"/>
              <w:left w:type="dxa" w:w="140"/>
              <w:bottom w:type="dxa" w:w="100"/>
              <w:right w:type="dxa" w:w="140"/>
            </w:tcMar>
          </w:tcPr>
          <w:p>
            <w:r>
              <w:rPr>
                <w:rFonts w:ascii="Courier New" w:cs="Courier New" w:eastAsia="Courier New" w:hAnsi="Courier New"/>
                <w:color w:val="1A3A6E"/>
                <w:sz w:val="18"/>
                <w:szCs w:val="18"/>
              </w:rPr>
              <w:t xml:space="preserve">CALCULATE([Total Sales], ALLEXCEPT('Sales Agent',[SalesRepName]))</w:t>
            </w:r>
          </w:p>
        </w:tc>
        <w:tc>
          <w:tcPr>
            <w:tcW w:type="dxa" w:w="3400"/>
            <w:tcBorders>
              <w:top w:val="single" w:color="D0D5E0" w:sz="1"/>
              <w:left w:val="single" w:color="D0D5E0" w:sz="1"/>
              <w:bottom w:val="single" w:color="D0D5E0" w:sz="1"/>
              <w:right w:val="single" w:color="D0D5E0" w:sz="1"/>
            </w:tcBorders>
            <w:shd w:fill="FFFFFF" w:val="clear"/>
            <w:tcMar>
              <w:top w:type="dxa" w:w="100"/>
              <w:left w:type="dxa" w:w="140"/>
              <w:bottom w:type="dxa" w:w="100"/>
              <w:right w:type="dxa" w:w="140"/>
            </w:tcMar>
          </w:tcPr>
          <w:p>
            <w:r>
              <w:rPr>
                <w:rFonts w:ascii="Arial" w:cs="Arial" w:eastAsia="Arial" w:hAnsi="Arial"/>
                <w:color w:val="4A5568"/>
                <w:sz w:val="19"/>
                <w:szCs w:val="19"/>
              </w:rPr>
              <w:t xml:space="preserve">Revenue attributed to each individual sales representative.</w:t>
            </w:r>
          </w:p>
        </w:tc>
      </w:tr>
      <w:tr>
        <w:tc>
          <w:tcPr>
            <w:tcW w:type="dxa" w:w="2400"/>
            <w:tcBorders>
              <w:top w:val="single" w:color="D0D5E0" w:sz="1"/>
              <w:left w:val="single" w:color="D0D5E0" w:sz="1"/>
              <w:bottom w:val="single" w:color="D0D5E0" w:sz="1"/>
              <w:right w:val="single" w:color="D0D5E0"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Top Products Rank</w:t>
            </w:r>
          </w:p>
        </w:tc>
        <w:tc>
          <w:tcPr>
            <w:tcW w:type="dxa" w:w="3560"/>
            <w:tcBorders>
              <w:top w:val="single" w:color="D0D5E0" w:sz="1"/>
              <w:left w:val="single" w:color="D0D5E0" w:sz="1"/>
              <w:bottom w:val="single" w:color="D0D5E0" w:sz="1"/>
              <w:right w:val="single" w:color="D0D5E0" w:sz="1"/>
            </w:tcBorders>
            <w:shd w:fill="EBF0F8" w:val="clear"/>
            <w:tcMar>
              <w:top w:type="dxa" w:w="100"/>
              <w:left w:type="dxa" w:w="140"/>
              <w:bottom w:type="dxa" w:w="100"/>
              <w:right w:type="dxa" w:w="140"/>
            </w:tcMar>
          </w:tcPr>
          <w:p>
            <w:r>
              <w:rPr>
                <w:rFonts w:ascii="Courier New" w:cs="Courier New" w:eastAsia="Courier New" w:hAnsi="Courier New"/>
                <w:color w:val="1A3A6E"/>
                <w:sz w:val="18"/>
                <w:szCs w:val="18"/>
              </w:rPr>
              <w:t xml:space="preserve">RANKX(ALL('LinkedDrugs'), [Total Sales],,DESC,Dense)</w:t>
            </w:r>
          </w:p>
        </w:tc>
        <w:tc>
          <w:tcPr>
            <w:tcW w:type="dxa" w:w="3400"/>
            <w:tcBorders>
              <w:top w:val="single" w:color="D0D5E0" w:sz="1"/>
              <w:left w:val="single" w:color="D0D5E0" w:sz="1"/>
              <w:bottom w:val="single" w:color="D0D5E0" w:sz="1"/>
              <w:right w:val="single" w:color="D0D5E0" w:sz="1"/>
            </w:tcBorders>
            <w:shd w:fill="F5F7FA" w:val="clear"/>
            <w:tcMar>
              <w:top w:type="dxa" w:w="100"/>
              <w:left w:type="dxa" w:w="140"/>
              <w:bottom w:type="dxa" w:w="100"/>
              <w:right w:type="dxa" w:w="140"/>
            </w:tcMar>
          </w:tcPr>
          <w:p>
            <w:r>
              <w:rPr>
                <w:rFonts w:ascii="Arial" w:cs="Arial" w:eastAsia="Arial" w:hAnsi="Arial"/>
                <w:color w:val="4A5568"/>
                <w:sz w:val="19"/>
                <w:szCs w:val="19"/>
              </w:rPr>
              <w:t xml:space="preserve">Ranks each drug by total revenue in descending order for leaderboard visuals.</w:t>
            </w:r>
          </w:p>
        </w:tc>
      </w:tr>
    </w:tbl>
    <w:p>
      <w:pPr>
        <w:spacing w:before="0" w:after="280"/>
      </w:pPr>
    </w:p>
    <w:p>
      <w:pPr>
        <w:pBdr>
          <w:bottom w:val="single" w:color="C8902A" w:sz="4" w:space="4"/>
        </w:pBdr>
        <w:spacing w:before="500" w:after="160"/>
      </w:pPr>
      <w:r>
        <w:rPr>
          <w:rFonts w:ascii="Arial" w:cs="Arial" w:eastAsia="Arial" w:hAnsi="Arial"/>
          <w:b/>
          <w:bCs/>
          <w:color w:val="1B2A4A"/>
          <w:sz w:val="36"/>
          <w:szCs w:val="36"/>
        </w:rPr>
        <w:t xml:space="preserve">2.  DAX Functions Used</w:t>
      </w:r>
    </w:p>
    <w:p>
      <w:pPr>
        <w:spacing w:before="0" w:after="80"/>
      </w:pPr>
    </w:p>
    <w:p>
      <w:pPr>
        <w:spacing w:before="0" w:after="100"/>
        <w:jc w:val="both"/>
      </w:pPr>
      <w:r>
        <w:rPr>
          <w:rFonts w:ascii="Arial" w:cs="Arial" w:eastAsia="Arial" w:hAnsi="Arial"/>
          <w:color w:val="4A5568"/>
          <w:sz w:val="21"/>
          <w:szCs w:val="21"/>
        </w:rPr>
        <w:t xml:space="preserve">The measures above are built using the following DAX functions. Each function is explained with its syntax, category, and how it is applied in this project.</w:t>
      </w:r>
    </w:p>
    <w:p>
      <w:pPr>
        <w:spacing w:before="0" w:after="160"/>
      </w:pPr>
    </w:p>
    <w:p>
      <w:pPr>
        <w:spacing w:before="300" w:after="120"/>
      </w:pPr>
      <w:r>
        <w:rPr>
          <w:rFonts w:ascii="Arial" w:cs="Arial" w:eastAsia="Arial" w:hAnsi="Arial"/>
          <w:b/>
          <w:bCs/>
          <w:color w:val="1B2A4A"/>
          <w:sz w:val="26"/>
          <w:szCs w:val="26"/>
        </w:rPr>
        <w:t xml:space="preserve">2.1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6"/>
              <w:left w:val="single" w:color="D0D5E0" w:sz="1"/>
              <w:bottom w:val="single" w:color="D0D5E0" w:sz="1"/>
              <w:right w:val="single" w:color="D0D5E0" w:sz="1"/>
            </w:tcBorders>
            <w:shd w:fill="E8F5F3" w:val="clear"/>
            <w:tcMar>
              <w:top w:type="dxa" w:w="160"/>
              <w:left w:type="dxa" w:w="220"/>
              <w:bottom w:type="dxa" w:w="160"/>
              <w:right w:type="dxa" w:w="220"/>
            </w:tcMar>
          </w:tcPr>
          <w:p>
            <w:pPr>
              <w:spacing w:before="0" w:after="80"/>
            </w:pPr>
            <w:r>
              <w:rPr>
                <w:rFonts w:ascii="Arial" w:cs="Arial" w:eastAsia="Arial" w:hAnsi="Arial"/>
                <w:b/>
                <w:bCs/>
                <w:color w:val="1A7A6E"/>
                <w:sz w:val="21"/>
                <w:szCs w:val="21"/>
              </w:rPr>
              <w:t xml:space="preserve">Category</w:t>
            </w:r>
          </w:p>
          <w:p>
            <w:pPr>
              <w:spacing w:before="0" w:after="0"/>
            </w:pPr>
            <w:r>
              <w:rPr>
                <w:rFonts w:ascii="Arial" w:cs="Arial" w:eastAsia="Arial" w:hAnsi="Arial"/>
                <w:color w:val="4A5568"/>
                <w:sz w:val="20"/>
                <w:szCs w:val="20"/>
              </w:rPr>
              <w:t xml:space="preserve">Aggregation  |  Used in: Total Sales, Total Units Sold, Returned Units</w:t>
            </w:r>
          </w:p>
        </w:tc>
      </w:tr>
    </w:tbl>
    <w:p>
      <w:pPr>
        <w:spacing w:before="0" w:after="120"/>
      </w:pPr>
    </w:p>
    <w:p>
      <w:pPr>
        <w:spacing w:before="200" w:after="80"/>
      </w:pPr>
      <w:r>
        <w:rPr>
          <w:rFonts w:ascii="Arial" w:cs="Arial" w:eastAsia="Arial" w:hAnsi="Arial"/>
          <w:b/>
          <w:bCs/>
          <w:color w:val="1A7A6E"/>
          <w:sz w:val="22"/>
          <w:szCs w:val="22"/>
        </w:rPr>
        <w:t xml:space="preserve">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1"/>
              <w:left w:val="single" w:color="1F5EAA" w:sz="6"/>
              <w:bottom w:val="single" w:color="D0D5E0" w:sz="1"/>
              <w:right w:val="single" w:color="D0D5E0" w:sz="1"/>
            </w:tcBorders>
            <w:shd w:fill="EBF0F8" w:val="clear"/>
            <w:tcMar>
              <w:top w:type="dxa" w:w="120"/>
              <w:left w:type="dxa" w:w="240"/>
              <w:bottom w:type="dxa" w:w="120"/>
              <w:right w:type="dxa" w:w="180"/>
            </w:tcMar>
          </w:tcPr>
          <w:p>
            <w:pPr>
              <w:spacing w:before="20" w:after="20"/>
            </w:pPr>
            <w:r>
              <w:rPr>
                <w:rFonts w:ascii="Courier New" w:cs="Courier New" w:eastAsia="Courier New" w:hAnsi="Courier New"/>
                <w:color w:val="1A3A6E"/>
                <w:sz w:val="19"/>
                <w:szCs w:val="19"/>
              </w:rPr>
              <w:t xml:space="preserve">SUM(&lt;column&gt;)</w:t>
            </w:r>
          </w:p>
        </w:tc>
      </w:tr>
    </w:tbl>
    <w:p>
      <w:pPr>
        <w:spacing w:before="0" w:after="80"/>
      </w:pPr>
    </w:p>
    <w:p>
      <w:pPr>
        <w:spacing w:before="200" w:after="80"/>
      </w:pPr>
      <w:r>
        <w:rPr>
          <w:rFonts w:ascii="Arial" w:cs="Arial" w:eastAsia="Arial" w:hAnsi="Arial"/>
          <w:b/>
          <w:bCs/>
          <w:color w:val="1A7A6E"/>
          <w:sz w:val="22"/>
          <w:szCs w:val="22"/>
        </w:rPr>
        <w:t xml:space="preserve">Description</w:t>
      </w:r>
    </w:p>
    <w:p>
      <w:pPr>
        <w:spacing w:before="0" w:after="100"/>
        <w:jc w:val="both"/>
      </w:pPr>
      <w:r>
        <w:rPr>
          <w:rFonts w:ascii="Arial" w:cs="Arial" w:eastAsia="Arial" w:hAnsi="Arial"/>
          <w:color w:val="4A5568"/>
          <w:sz w:val="21"/>
          <w:szCs w:val="21"/>
        </w:rPr>
        <w:t xml:space="preserve">SUM adds all numbers in a column. It is the foundation of most KPI measures in this dashboard — summing sales amounts, units sold, and returned units across all rows in the filtered context.</w:t>
      </w:r>
    </w:p>
    <w:p>
      <w:pPr>
        <w:spacing w:before="200" w:after="80"/>
      </w:pPr>
      <w:r>
        <w:rPr>
          <w:rFonts w:ascii="Arial" w:cs="Arial" w:eastAsia="Arial" w:hAnsi="Arial"/>
          <w:b/>
          <w:bCs/>
          <w:color w:val="1A7A6E"/>
          <w:sz w:val="22"/>
          <w:szCs w:val="22"/>
        </w:rPr>
        <w:t xml:space="preserve">Usage in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1"/>
              <w:left w:val="single" w:color="1F5EAA" w:sz="6"/>
              <w:bottom w:val="single" w:color="D0D5E0" w:sz="1"/>
              <w:right w:val="single" w:color="D0D5E0" w:sz="1"/>
            </w:tcBorders>
            <w:shd w:fill="EBF0F8" w:val="clear"/>
            <w:tcMar>
              <w:top w:type="dxa" w:w="120"/>
              <w:left w:type="dxa" w:w="240"/>
              <w:bottom w:type="dxa" w:w="120"/>
              <w:right w:type="dxa" w:w="180"/>
            </w:tcMar>
          </w:tcPr>
          <w:p>
            <w:pPr>
              <w:spacing w:before="20" w:after="20"/>
            </w:pPr>
            <w:r>
              <w:rPr>
                <w:rFonts w:ascii="Courier New" w:cs="Courier New" w:eastAsia="Courier New" w:hAnsi="Courier New"/>
                <w:color w:val="1A3A6E"/>
                <w:sz w:val="19"/>
                <w:szCs w:val="19"/>
              </w:rPr>
              <w:t xml:space="preserve">Total Sales      = SUM('Sales Agent'[Total Sales])</w:t>
            </w:r>
          </w:p>
          <w:p>
            <w:pPr>
              <w:spacing w:before="20" w:after="20"/>
            </w:pPr>
            <w:r>
              <w:rPr>
                <w:rFonts w:ascii="Courier New" w:cs="Courier New" w:eastAsia="Courier New" w:hAnsi="Courier New"/>
                <w:color w:val="1A3A6E"/>
                <w:sz w:val="19"/>
                <w:szCs w:val="19"/>
              </w:rPr>
              <w:t xml:space="preserve">Total Units Sold = SUM('Sales Agent'[UnitsSold])</w:t>
            </w:r>
          </w:p>
          <w:p>
            <w:pPr>
              <w:spacing w:before="20" w:after="20"/>
            </w:pPr>
            <w:r>
              <w:rPr>
                <w:rFonts w:ascii="Courier New" w:cs="Courier New" w:eastAsia="Courier New" w:hAnsi="Courier New"/>
                <w:color w:val="1A3A6E"/>
                <w:sz w:val="19"/>
                <w:szCs w:val="19"/>
              </w:rPr>
              <w:t xml:space="preserve">Returned Units   = SUM('Sales Agent'[ReturnedUnits])</w:t>
            </w:r>
          </w:p>
        </w:tc>
      </w:tr>
    </w:tbl>
    <w:p>
      <w:pPr>
        <w:spacing w:before="0" w:after="200"/>
      </w:pPr>
    </w:p>
    <w:p>
      <w:pPr>
        <w:spacing w:before="300" w:after="120"/>
      </w:pPr>
      <w:r>
        <w:rPr>
          <w:rFonts w:ascii="Arial" w:cs="Arial" w:eastAsia="Arial" w:hAnsi="Arial"/>
          <w:b/>
          <w:bCs/>
          <w:color w:val="1B2A4A"/>
          <w:sz w:val="26"/>
          <w:szCs w:val="26"/>
        </w:rPr>
        <w:t xml:space="preserve">2.2  SUMX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6"/>
              <w:left w:val="single" w:color="D0D5E0" w:sz="1"/>
              <w:bottom w:val="single" w:color="D0D5E0" w:sz="1"/>
              <w:right w:val="single" w:color="D0D5E0" w:sz="1"/>
            </w:tcBorders>
            <w:shd w:fill="EEF3FB" w:val="clear"/>
            <w:tcMar>
              <w:top w:type="dxa" w:w="160"/>
              <w:left w:type="dxa" w:w="220"/>
              <w:bottom w:type="dxa" w:w="160"/>
              <w:right w:type="dxa" w:w="220"/>
            </w:tcMar>
          </w:tcPr>
          <w:p>
            <w:pPr>
              <w:spacing w:before="0" w:after="80"/>
            </w:pPr>
            <w:r>
              <w:rPr>
                <w:rFonts w:ascii="Arial" w:cs="Arial" w:eastAsia="Arial" w:hAnsi="Arial"/>
                <w:b/>
                <w:bCs/>
                <w:color w:val="1F5EAA"/>
                <w:sz w:val="21"/>
                <w:szCs w:val="21"/>
              </w:rPr>
              <w:t xml:space="preserve">Category</w:t>
            </w:r>
          </w:p>
          <w:p>
            <w:pPr>
              <w:spacing w:before="0" w:after="0"/>
            </w:pPr>
            <w:r>
              <w:rPr>
                <w:rFonts w:ascii="Arial" w:cs="Arial" w:eastAsia="Arial" w:hAnsi="Arial"/>
                <w:color w:val="4A5568"/>
                <w:sz w:val="20"/>
                <w:szCs w:val="20"/>
              </w:rPr>
              <w:t xml:space="preserve">Iterator (Row-by-Row Aggregation)  |  Used in: Gross Profit</w:t>
            </w:r>
          </w:p>
        </w:tc>
      </w:tr>
    </w:tbl>
    <w:p>
      <w:pPr>
        <w:spacing w:before="0" w:after="120"/>
      </w:pPr>
    </w:p>
    <w:p>
      <w:pPr>
        <w:spacing w:before="200" w:after="80"/>
      </w:pPr>
      <w:r>
        <w:rPr>
          <w:rFonts w:ascii="Arial" w:cs="Arial" w:eastAsia="Arial" w:hAnsi="Arial"/>
          <w:b/>
          <w:bCs/>
          <w:color w:val="1A7A6E"/>
          <w:sz w:val="22"/>
          <w:szCs w:val="22"/>
        </w:rPr>
        <w:t xml:space="preserve">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1"/>
              <w:left w:val="single" w:color="1F5EAA" w:sz="6"/>
              <w:bottom w:val="single" w:color="D0D5E0" w:sz="1"/>
              <w:right w:val="single" w:color="D0D5E0" w:sz="1"/>
            </w:tcBorders>
            <w:shd w:fill="EBF0F8" w:val="clear"/>
            <w:tcMar>
              <w:top w:type="dxa" w:w="120"/>
              <w:left w:type="dxa" w:w="240"/>
              <w:bottom w:type="dxa" w:w="120"/>
              <w:right w:type="dxa" w:w="180"/>
            </w:tcMar>
          </w:tcPr>
          <w:p>
            <w:pPr>
              <w:spacing w:before="20" w:after="20"/>
            </w:pPr>
            <w:r>
              <w:rPr>
                <w:rFonts w:ascii="Courier New" w:cs="Courier New" w:eastAsia="Courier New" w:hAnsi="Courier New"/>
                <w:color w:val="1A3A6E"/>
                <w:sz w:val="19"/>
                <w:szCs w:val="19"/>
              </w:rPr>
              <w:t xml:space="preserve">SUMX(&lt;table&gt;, &lt;expression&gt;)</w:t>
            </w:r>
          </w:p>
        </w:tc>
      </w:tr>
    </w:tbl>
    <w:p>
      <w:pPr>
        <w:spacing w:before="0" w:after="80"/>
      </w:pPr>
    </w:p>
    <w:p>
      <w:pPr>
        <w:spacing w:before="200" w:after="80"/>
      </w:pPr>
      <w:r>
        <w:rPr>
          <w:rFonts w:ascii="Arial" w:cs="Arial" w:eastAsia="Arial" w:hAnsi="Arial"/>
          <w:b/>
          <w:bCs/>
          <w:color w:val="1A7A6E"/>
          <w:sz w:val="22"/>
          <w:szCs w:val="22"/>
        </w:rPr>
        <w:t xml:space="preserve">Description</w:t>
      </w:r>
    </w:p>
    <w:p>
      <w:pPr>
        <w:spacing w:before="0" w:after="100"/>
        <w:jc w:val="both"/>
      </w:pPr>
      <w:r>
        <w:rPr>
          <w:rFonts w:ascii="Arial" w:cs="Arial" w:eastAsia="Arial" w:hAnsi="Arial"/>
          <w:color w:val="4A5568"/>
          <w:sz w:val="21"/>
          <w:szCs w:val="21"/>
        </w:rPr>
        <w:t xml:space="preserve">SUMX iterates row by row over a table, evaluates an expression for each row, then sums the results. It is used when the calculation cannot be a simple column sum — for example, multiplying two columns per row before aggregating.</w:t>
      </w:r>
    </w:p>
    <w:p>
      <w:pPr>
        <w:spacing w:before="200" w:after="80"/>
      </w:pPr>
      <w:r>
        <w:rPr>
          <w:rFonts w:ascii="Arial" w:cs="Arial" w:eastAsia="Arial" w:hAnsi="Arial"/>
          <w:b/>
          <w:bCs/>
          <w:color w:val="1A7A6E"/>
          <w:sz w:val="22"/>
          <w:szCs w:val="22"/>
        </w:rPr>
        <w:t xml:space="preserve">Usage in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1"/>
              <w:left w:val="single" w:color="1F5EAA" w:sz="6"/>
              <w:bottom w:val="single" w:color="D0D5E0" w:sz="1"/>
              <w:right w:val="single" w:color="D0D5E0" w:sz="1"/>
            </w:tcBorders>
            <w:shd w:fill="EBF0F8" w:val="clear"/>
            <w:tcMar>
              <w:top w:type="dxa" w:w="120"/>
              <w:left w:type="dxa" w:w="240"/>
              <w:bottom w:type="dxa" w:w="120"/>
              <w:right w:type="dxa" w:w="180"/>
            </w:tcMar>
          </w:tcPr>
          <w:p>
            <w:pPr>
              <w:spacing w:before="20" w:after="20"/>
            </w:pPr>
            <w:r>
              <w:rPr>
                <w:rFonts w:ascii="Courier New" w:cs="Courier New" w:eastAsia="Courier New" w:hAnsi="Courier New"/>
                <w:color w:val="1A3A6E"/>
                <w:sz w:val="19"/>
                <w:szCs w:val="19"/>
              </w:rPr>
              <w:t xml:space="preserve">Gross Profit = SUMX(</w:t>
            </w:r>
          </w:p>
          <w:p>
            <w:pPr>
              <w:spacing w:before="20" w:after="20"/>
            </w:pPr>
            <w:r>
              <w:rPr>
                <w:rFonts w:ascii="Courier New" w:cs="Courier New" w:eastAsia="Courier New" w:hAnsi="Courier New"/>
                <w:color w:val="1A3A6E"/>
                <w:sz w:val="19"/>
                <w:szCs w:val="19"/>
              </w:rPr>
              <w:t xml:space="preserve">    'Sales Agent',</w:t>
            </w:r>
          </w:p>
          <w:p>
            <w:pPr>
              <w:spacing w:before="20" w:after="20"/>
            </w:pPr>
            <w:r>
              <w:rPr>
                <w:rFonts w:ascii="Courier New" w:cs="Courier New" w:eastAsia="Courier New" w:hAnsi="Courier New"/>
                <w:color w:val="1A3A6E"/>
                <w:sz w:val="19"/>
                <w:szCs w:val="19"/>
              </w:rPr>
              <w:t xml:space="preserve">    'Sales Agent'[UnitsSold] * ('Sales Agent'[UnitPrice] - 'Sales Agent'[CostPerUnit])</w:t>
            </w:r>
          </w:p>
          <w:p>
            <w:pPr>
              <w:spacing w:before="20" w:after="20"/>
            </w:pPr>
            <w:r>
              <w:rPr>
                <w:rFonts w:ascii="Courier New" w:cs="Courier New" w:eastAsia="Courier New" w:hAnsi="Courier New"/>
                <w:color w:val="1A3A6E"/>
                <w:sz w:val="19"/>
                <w:szCs w:val="19"/>
              </w:rPr>
              <w:t xml:space="preserve">)</w:t>
            </w:r>
          </w:p>
        </w:tc>
      </w:tr>
    </w:tbl>
    <w:p>
      <w:pPr>
        <w:spacing w:before="200" w:after="80"/>
      </w:pPr>
      <w:r>
        <w:rPr>
          <w:rFonts w:ascii="Arial" w:cs="Arial" w:eastAsia="Arial" w:hAnsi="Arial"/>
          <w:b/>
          <w:bCs/>
          <w:color w:val="1A7A6E"/>
          <w:sz w:val="22"/>
          <w:szCs w:val="22"/>
        </w:rPr>
        <w:t xml:space="preserve">Why SUMX instead of SUM?</w:t>
      </w:r>
    </w:p>
    <w:p>
      <w:pPr>
        <w:spacing w:before="0" w:after="100"/>
        <w:jc w:val="both"/>
      </w:pPr>
      <w:r>
        <w:rPr>
          <w:rFonts w:ascii="Arial" w:cs="Arial" w:eastAsia="Arial" w:hAnsi="Arial"/>
          <w:color w:val="4A5568"/>
          <w:sz w:val="21"/>
          <w:szCs w:val="21"/>
        </w:rPr>
        <w:t xml:space="preserve">A simple SUM would give incorrect results because profit must be computed per transaction (units × margin per unit), then summed — not summed and then multiplied.</w:t>
      </w:r>
    </w:p>
    <w:p>
      <w:pPr>
        <w:spacing w:before="0" w:after="200"/>
      </w:pPr>
    </w:p>
    <w:p>
      <w:pPr>
        <w:spacing w:before="300" w:after="120"/>
      </w:pPr>
      <w:r>
        <w:rPr>
          <w:rFonts w:ascii="Arial" w:cs="Arial" w:eastAsia="Arial" w:hAnsi="Arial"/>
          <w:b/>
          <w:bCs/>
          <w:color w:val="1B2A4A"/>
          <w:sz w:val="26"/>
          <w:szCs w:val="26"/>
        </w:rPr>
        <w:t xml:space="preserve">2.3  CALCULATE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02A" w:sz="6"/>
              <w:left w:val="single" w:color="D0D5E0" w:sz="1"/>
              <w:bottom w:val="single" w:color="D0D5E0" w:sz="1"/>
              <w:right w:val="single" w:color="D0D5E0" w:sz="1"/>
            </w:tcBorders>
            <w:shd w:fill="FDF6E8" w:val="clear"/>
            <w:tcMar>
              <w:top w:type="dxa" w:w="160"/>
              <w:left w:type="dxa" w:w="220"/>
              <w:bottom w:type="dxa" w:w="160"/>
              <w:right w:type="dxa" w:w="220"/>
            </w:tcMar>
          </w:tcPr>
          <w:p>
            <w:pPr>
              <w:spacing w:before="0" w:after="80"/>
            </w:pPr>
            <w:r>
              <w:rPr>
                <w:rFonts w:ascii="Arial" w:cs="Arial" w:eastAsia="Arial" w:hAnsi="Arial"/>
                <w:b/>
                <w:bCs/>
                <w:color w:val="C8902A"/>
                <w:sz w:val="21"/>
                <w:szCs w:val="21"/>
              </w:rPr>
              <w:t xml:space="preserve">Category</w:t>
            </w:r>
          </w:p>
          <w:p>
            <w:pPr>
              <w:spacing w:before="0" w:after="0"/>
            </w:pPr>
            <w:r>
              <w:rPr>
                <w:rFonts w:ascii="Arial" w:cs="Arial" w:eastAsia="Arial" w:hAnsi="Arial"/>
                <w:color w:val="4A5568"/>
                <w:sz w:val="20"/>
                <w:szCs w:val="20"/>
              </w:rPr>
              <w:t xml:space="preserve">Filter Modification  |  Used in: LY Sales, Sales by Agent</w:t>
            </w:r>
          </w:p>
        </w:tc>
      </w:tr>
    </w:tbl>
    <w:p>
      <w:pPr>
        <w:spacing w:before="0" w:after="120"/>
      </w:pPr>
    </w:p>
    <w:p>
      <w:pPr>
        <w:spacing w:before="200" w:after="80"/>
      </w:pPr>
      <w:r>
        <w:rPr>
          <w:rFonts w:ascii="Arial" w:cs="Arial" w:eastAsia="Arial" w:hAnsi="Arial"/>
          <w:b/>
          <w:bCs/>
          <w:color w:val="1A7A6E"/>
          <w:sz w:val="22"/>
          <w:szCs w:val="22"/>
        </w:rPr>
        <w:t xml:space="preserve">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1"/>
              <w:left w:val="single" w:color="1F5EAA" w:sz="6"/>
              <w:bottom w:val="single" w:color="D0D5E0" w:sz="1"/>
              <w:right w:val="single" w:color="D0D5E0" w:sz="1"/>
            </w:tcBorders>
            <w:shd w:fill="EBF0F8" w:val="clear"/>
            <w:tcMar>
              <w:top w:type="dxa" w:w="120"/>
              <w:left w:type="dxa" w:w="240"/>
              <w:bottom w:type="dxa" w:w="120"/>
              <w:right w:type="dxa" w:w="180"/>
            </w:tcMar>
          </w:tcPr>
          <w:p>
            <w:pPr>
              <w:spacing w:before="20" w:after="20"/>
            </w:pPr>
            <w:r>
              <w:rPr>
                <w:rFonts w:ascii="Courier New" w:cs="Courier New" w:eastAsia="Courier New" w:hAnsi="Courier New"/>
                <w:color w:val="1A3A6E"/>
                <w:sz w:val="19"/>
                <w:szCs w:val="19"/>
              </w:rPr>
              <w:t xml:space="preserve">CALCULATE(&lt;expression&gt;, &lt;filter1&gt;, &lt;filter2&gt;, ...)</w:t>
            </w:r>
          </w:p>
        </w:tc>
      </w:tr>
    </w:tbl>
    <w:p>
      <w:pPr>
        <w:spacing w:before="0" w:after="80"/>
      </w:pPr>
    </w:p>
    <w:p>
      <w:pPr>
        <w:spacing w:before="200" w:after="80"/>
      </w:pPr>
      <w:r>
        <w:rPr>
          <w:rFonts w:ascii="Arial" w:cs="Arial" w:eastAsia="Arial" w:hAnsi="Arial"/>
          <w:b/>
          <w:bCs/>
          <w:color w:val="1A7A6E"/>
          <w:sz w:val="22"/>
          <w:szCs w:val="22"/>
        </w:rPr>
        <w:t xml:space="preserve">Description</w:t>
      </w:r>
    </w:p>
    <w:p>
      <w:pPr>
        <w:spacing w:before="0" w:after="100"/>
        <w:jc w:val="both"/>
      </w:pPr>
      <w:r>
        <w:rPr>
          <w:rFonts w:ascii="Arial" w:cs="Arial" w:eastAsia="Arial" w:hAnsi="Arial"/>
          <w:color w:val="4A5568"/>
          <w:sz w:val="21"/>
          <w:szCs w:val="21"/>
        </w:rPr>
        <w:t xml:space="preserve">CALCULATE evaluates an expression in a modified filter context. It is the most powerful DAX function — it can override or extend the current filter context, enabling time intelligence comparisons, segment filtering, and context manipulation.</w:t>
      </w:r>
    </w:p>
    <w:p>
      <w:pPr>
        <w:spacing w:before="200" w:after="80"/>
      </w:pPr>
      <w:r>
        <w:rPr>
          <w:rFonts w:ascii="Arial" w:cs="Arial" w:eastAsia="Arial" w:hAnsi="Arial"/>
          <w:b/>
          <w:bCs/>
          <w:color w:val="1A7A6E"/>
          <w:sz w:val="22"/>
          <w:szCs w:val="22"/>
        </w:rPr>
        <w:t xml:space="preserve">Usage in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1"/>
              <w:left w:val="single" w:color="1F5EAA" w:sz="6"/>
              <w:bottom w:val="single" w:color="D0D5E0" w:sz="1"/>
              <w:right w:val="single" w:color="D0D5E0" w:sz="1"/>
            </w:tcBorders>
            <w:shd w:fill="EBF0F8" w:val="clear"/>
            <w:tcMar>
              <w:top w:type="dxa" w:w="120"/>
              <w:left w:type="dxa" w:w="240"/>
              <w:bottom w:type="dxa" w:w="120"/>
              <w:right w:type="dxa" w:w="180"/>
            </w:tcMar>
          </w:tcPr>
          <w:p>
            <w:pPr>
              <w:spacing w:before="20" w:after="20"/>
            </w:pPr>
            <w:r>
              <w:rPr>
                <w:rFonts w:ascii="Courier New" w:cs="Courier New" w:eastAsia="Courier New" w:hAnsi="Courier New"/>
                <w:color w:val="1A3A6E"/>
                <w:sz w:val="19"/>
                <w:szCs w:val="19"/>
              </w:rPr>
              <w:t xml:space="preserve">LY Sales = CALCULATE(</w:t>
            </w:r>
          </w:p>
          <w:p>
            <w:pPr>
              <w:spacing w:before="20" w:after="20"/>
            </w:pPr>
            <w:r>
              <w:rPr>
                <w:rFonts w:ascii="Courier New" w:cs="Courier New" w:eastAsia="Courier New" w:hAnsi="Courier New"/>
                <w:color w:val="1A3A6E"/>
                <w:sz w:val="19"/>
                <w:szCs w:val="19"/>
              </w:rPr>
              <w:t xml:space="preserve">    [Total Sales],</w:t>
            </w:r>
          </w:p>
          <w:p>
            <w:pPr>
              <w:spacing w:before="20" w:after="20"/>
            </w:pPr>
            <w:r>
              <w:rPr>
                <w:rFonts w:ascii="Courier New" w:cs="Courier New" w:eastAsia="Courier New" w:hAnsi="Courier New"/>
                <w:color w:val="1A3A6E"/>
                <w:sz w:val="19"/>
                <w:szCs w:val="19"/>
              </w:rPr>
              <w:t xml:space="preserve">    SAMEPERIODLASTYEAR('Date'[Date])</w:t>
            </w:r>
          </w:p>
          <w:p>
            <w:pPr>
              <w:spacing w:before="20" w:after="20"/>
            </w:pPr>
            <w:r>
              <w:rPr>
                <w:rFonts w:ascii="Courier New" w:cs="Courier New" w:eastAsia="Courier New" w:hAnsi="Courier New"/>
                <w:color w:val="1A3A6E"/>
                <w:sz w:val="19"/>
                <w:szCs w:val="19"/>
              </w:rPr>
              <w:t xml:space="preserve">)</w:t>
            </w:r>
          </w:p>
          <w:p>
            <w:pPr>
              <w:spacing w:before="20" w:after="20"/>
            </w:pPr>
            <w:r>
              <w:rPr>
                <w:rFonts w:ascii="Courier New" w:cs="Courier New" w:eastAsia="Courier New" w:hAnsi="Courier New"/>
                <w:color w:val="1A3A6E"/>
                <w:sz w:val="19"/>
                <w:szCs w:val="19"/>
              </w:rPr>
              <w:t xml:space="preserve"/>
            </w:r>
          </w:p>
          <w:p>
            <w:pPr>
              <w:spacing w:before="20" w:after="20"/>
            </w:pPr>
            <w:r>
              <w:rPr>
                <w:rFonts w:ascii="Courier New" w:cs="Courier New" w:eastAsia="Courier New" w:hAnsi="Courier New"/>
                <w:color w:val="1A3A6E"/>
                <w:sz w:val="19"/>
                <w:szCs w:val="19"/>
              </w:rPr>
              <w:t xml:space="preserve">Sales by Agent = CALCULATE(</w:t>
            </w:r>
          </w:p>
          <w:p>
            <w:pPr>
              <w:spacing w:before="20" w:after="20"/>
            </w:pPr>
            <w:r>
              <w:rPr>
                <w:rFonts w:ascii="Courier New" w:cs="Courier New" w:eastAsia="Courier New" w:hAnsi="Courier New"/>
                <w:color w:val="1A3A6E"/>
                <w:sz w:val="19"/>
                <w:szCs w:val="19"/>
              </w:rPr>
              <w:t xml:space="preserve">    [Total Sales],</w:t>
            </w:r>
          </w:p>
          <w:p>
            <w:pPr>
              <w:spacing w:before="20" w:after="20"/>
            </w:pPr>
            <w:r>
              <w:rPr>
                <w:rFonts w:ascii="Courier New" w:cs="Courier New" w:eastAsia="Courier New" w:hAnsi="Courier New"/>
                <w:color w:val="1A3A6E"/>
                <w:sz w:val="19"/>
                <w:szCs w:val="19"/>
              </w:rPr>
              <w:t xml:space="preserve">    ALLEXCEPT('Sales Agent', 'Sales Agent'[SalesRepName])</w:t>
            </w:r>
          </w:p>
          <w:p>
            <w:pPr>
              <w:spacing w:before="20" w:after="20"/>
            </w:pPr>
            <w:r>
              <w:rPr>
                <w:rFonts w:ascii="Courier New" w:cs="Courier New" w:eastAsia="Courier New" w:hAnsi="Courier New"/>
                <w:color w:val="1A3A6E"/>
                <w:sz w:val="19"/>
                <w:szCs w:val="19"/>
              </w:rPr>
              <w:t xml:space="preserve">)</w:t>
            </w:r>
          </w:p>
        </w:tc>
      </w:tr>
    </w:tbl>
    <w:p>
      <w:pPr>
        <w:spacing w:before="0" w:after="200"/>
      </w:pPr>
    </w:p>
    <w:p>
      <w:pPr>
        <w:spacing w:before="300" w:after="120"/>
      </w:pPr>
      <w:r>
        <w:rPr>
          <w:rFonts w:ascii="Arial" w:cs="Arial" w:eastAsia="Arial" w:hAnsi="Arial"/>
          <w:b/>
          <w:bCs/>
          <w:color w:val="1B2A4A"/>
          <w:sz w:val="26"/>
          <w:szCs w:val="26"/>
        </w:rPr>
        <w:t xml:space="preserve">2.4  DIVIDE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D8F" w:sz="6"/>
              <w:left w:val="single" w:color="D0D5E0" w:sz="1"/>
              <w:bottom w:val="single" w:color="D0D5E0" w:sz="1"/>
              <w:right w:val="single" w:color="D0D5E0" w:sz="1"/>
            </w:tcBorders>
            <w:shd w:fill="F3EFFA" w:val="clear"/>
            <w:tcMar>
              <w:top w:type="dxa" w:w="160"/>
              <w:left w:type="dxa" w:w="220"/>
              <w:bottom w:type="dxa" w:w="160"/>
              <w:right w:type="dxa" w:w="220"/>
            </w:tcMar>
          </w:tcPr>
          <w:p>
            <w:pPr>
              <w:spacing w:before="0" w:after="80"/>
            </w:pPr>
            <w:r>
              <w:rPr>
                <w:rFonts w:ascii="Arial" w:cs="Arial" w:eastAsia="Arial" w:hAnsi="Arial"/>
                <w:b/>
                <w:bCs/>
                <w:color w:val="5C3D8F"/>
                <w:sz w:val="21"/>
                <w:szCs w:val="21"/>
              </w:rPr>
              <w:t xml:space="preserve">Category</w:t>
            </w:r>
          </w:p>
          <w:p>
            <w:pPr>
              <w:spacing w:before="0" w:after="0"/>
            </w:pPr>
            <w:r>
              <w:rPr>
                <w:rFonts w:ascii="Arial" w:cs="Arial" w:eastAsia="Arial" w:hAnsi="Arial"/>
                <w:color w:val="4A5568"/>
                <w:sz w:val="20"/>
                <w:szCs w:val="20"/>
              </w:rPr>
              <w:t xml:space="preserve">Math &amp; Trig — Safe Division  |  Used in: Profit Margin %, YoY Growth %</w:t>
            </w:r>
          </w:p>
        </w:tc>
      </w:tr>
    </w:tbl>
    <w:p>
      <w:pPr>
        <w:spacing w:before="0" w:after="120"/>
      </w:pPr>
    </w:p>
    <w:p>
      <w:pPr>
        <w:spacing w:before="200" w:after="80"/>
      </w:pPr>
      <w:r>
        <w:rPr>
          <w:rFonts w:ascii="Arial" w:cs="Arial" w:eastAsia="Arial" w:hAnsi="Arial"/>
          <w:b/>
          <w:bCs/>
          <w:color w:val="1A7A6E"/>
          <w:sz w:val="22"/>
          <w:szCs w:val="22"/>
        </w:rPr>
        <w:t xml:space="preserve">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1"/>
              <w:left w:val="single" w:color="1F5EAA" w:sz="6"/>
              <w:bottom w:val="single" w:color="D0D5E0" w:sz="1"/>
              <w:right w:val="single" w:color="D0D5E0" w:sz="1"/>
            </w:tcBorders>
            <w:shd w:fill="EBF0F8" w:val="clear"/>
            <w:tcMar>
              <w:top w:type="dxa" w:w="120"/>
              <w:left w:type="dxa" w:w="240"/>
              <w:bottom w:type="dxa" w:w="120"/>
              <w:right w:type="dxa" w:w="180"/>
            </w:tcMar>
          </w:tcPr>
          <w:p>
            <w:pPr>
              <w:spacing w:before="20" w:after="20"/>
            </w:pPr>
            <w:r>
              <w:rPr>
                <w:rFonts w:ascii="Courier New" w:cs="Courier New" w:eastAsia="Courier New" w:hAnsi="Courier New"/>
                <w:color w:val="1A3A6E"/>
                <w:sz w:val="19"/>
                <w:szCs w:val="19"/>
              </w:rPr>
              <w:t xml:space="preserve">DIVIDE(&lt;numerator&gt;, &lt;denominator&gt;, [&lt;alternateResult&gt;])</w:t>
            </w:r>
          </w:p>
        </w:tc>
      </w:tr>
    </w:tbl>
    <w:p>
      <w:pPr>
        <w:spacing w:before="0" w:after="80"/>
      </w:pPr>
    </w:p>
    <w:p>
      <w:pPr>
        <w:spacing w:before="200" w:after="80"/>
      </w:pPr>
      <w:r>
        <w:rPr>
          <w:rFonts w:ascii="Arial" w:cs="Arial" w:eastAsia="Arial" w:hAnsi="Arial"/>
          <w:b/>
          <w:bCs/>
          <w:color w:val="1A7A6E"/>
          <w:sz w:val="22"/>
          <w:szCs w:val="22"/>
        </w:rPr>
        <w:t xml:space="preserve">Description</w:t>
      </w:r>
    </w:p>
    <w:p>
      <w:pPr>
        <w:spacing w:before="0" w:after="100"/>
        <w:jc w:val="both"/>
      </w:pPr>
      <w:r>
        <w:rPr>
          <w:rFonts w:ascii="Arial" w:cs="Arial" w:eastAsia="Arial" w:hAnsi="Arial"/>
          <w:color w:val="4A5568"/>
          <w:sz w:val="21"/>
          <w:szCs w:val="21"/>
        </w:rPr>
        <w:t xml:space="preserve">DIVIDE performs division and returns an alternate result (default: BLANK) when the denominator is zero, preventing divide-by-zero errors. Always preferred over the / operator in DAX.</w:t>
      </w:r>
    </w:p>
    <w:p>
      <w:pPr>
        <w:spacing w:before="200" w:after="80"/>
      </w:pPr>
      <w:r>
        <w:rPr>
          <w:rFonts w:ascii="Arial" w:cs="Arial" w:eastAsia="Arial" w:hAnsi="Arial"/>
          <w:b/>
          <w:bCs/>
          <w:color w:val="1A7A6E"/>
          <w:sz w:val="22"/>
          <w:szCs w:val="22"/>
        </w:rPr>
        <w:t xml:space="preserve">Usage in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1"/>
              <w:left w:val="single" w:color="1F5EAA" w:sz="6"/>
              <w:bottom w:val="single" w:color="D0D5E0" w:sz="1"/>
              <w:right w:val="single" w:color="D0D5E0" w:sz="1"/>
            </w:tcBorders>
            <w:shd w:fill="EBF0F8" w:val="clear"/>
            <w:tcMar>
              <w:top w:type="dxa" w:w="120"/>
              <w:left w:type="dxa" w:w="240"/>
              <w:bottom w:type="dxa" w:w="120"/>
              <w:right w:type="dxa" w:w="180"/>
            </w:tcMar>
          </w:tcPr>
          <w:p>
            <w:pPr>
              <w:spacing w:before="20" w:after="20"/>
            </w:pPr>
            <w:r>
              <w:rPr>
                <w:rFonts w:ascii="Courier New" w:cs="Courier New" w:eastAsia="Courier New" w:hAnsi="Courier New"/>
                <w:color w:val="1A3A6E"/>
                <w:sz w:val="19"/>
                <w:szCs w:val="19"/>
              </w:rPr>
              <w:t xml:space="preserve">Profit Margin % = DIVIDE([Gross Profit], [Total Sales], 0)</w:t>
            </w:r>
          </w:p>
          <w:p>
            <w:pPr>
              <w:spacing w:before="20" w:after="20"/>
            </w:pPr>
            <w:r>
              <w:rPr>
                <w:rFonts w:ascii="Courier New" w:cs="Courier New" w:eastAsia="Courier New" w:hAnsi="Courier New"/>
                <w:color w:val="1A3A6E"/>
                <w:sz w:val="19"/>
                <w:szCs w:val="19"/>
              </w:rPr>
              <w:t xml:space="preserve">YoY Growth %    = DIVIDE([Total Sales] - [LY Sales], [LY Sales], 0)</w:t>
            </w:r>
          </w:p>
        </w:tc>
      </w:tr>
    </w:tbl>
    <w:p>
      <w:pPr>
        <w:spacing w:before="0" w:after="200"/>
      </w:pPr>
    </w:p>
    <w:p>
      <w:pPr>
        <w:spacing w:before="300" w:after="120"/>
      </w:pPr>
      <w:r>
        <w:rPr>
          <w:rFonts w:ascii="Arial" w:cs="Arial" w:eastAsia="Arial" w:hAnsi="Arial"/>
          <w:b/>
          <w:bCs/>
          <w:color w:val="1B2A4A"/>
          <w:sz w:val="26"/>
          <w:szCs w:val="26"/>
        </w:rPr>
        <w:t xml:space="preserve">2.5  SAMEPERIODLASTYEAR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6"/>
              <w:left w:val="single" w:color="D0D5E0" w:sz="1"/>
              <w:bottom w:val="single" w:color="D0D5E0" w:sz="1"/>
              <w:right w:val="single" w:color="D0D5E0" w:sz="1"/>
            </w:tcBorders>
            <w:shd w:fill="E8F5F3" w:val="clear"/>
            <w:tcMar>
              <w:top w:type="dxa" w:w="160"/>
              <w:left w:type="dxa" w:w="220"/>
              <w:bottom w:type="dxa" w:w="160"/>
              <w:right w:type="dxa" w:w="220"/>
            </w:tcMar>
          </w:tcPr>
          <w:p>
            <w:pPr>
              <w:spacing w:before="0" w:after="80"/>
            </w:pPr>
            <w:r>
              <w:rPr>
                <w:rFonts w:ascii="Arial" w:cs="Arial" w:eastAsia="Arial" w:hAnsi="Arial"/>
                <w:b/>
                <w:bCs/>
                <w:color w:val="1A7A6E"/>
                <w:sz w:val="21"/>
                <w:szCs w:val="21"/>
              </w:rPr>
              <w:t xml:space="preserve">Category</w:t>
            </w:r>
          </w:p>
          <w:p>
            <w:pPr>
              <w:spacing w:before="0" w:after="0"/>
            </w:pPr>
            <w:r>
              <w:rPr>
                <w:rFonts w:ascii="Arial" w:cs="Arial" w:eastAsia="Arial" w:hAnsi="Arial"/>
                <w:color w:val="4A5568"/>
                <w:sz w:val="20"/>
                <w:szCs w:val="20"/>
              </w:rPr>
              <w:t xml:space="preserve">Time Intelligence  |  Used in: LY Sales, YoY Growth %</w:t>
            </w:r>
          </w:p>
        </w:tc>
      </w:tr>
    </w:tbl>
    <w:p>
      <w:pPr>
        <w:spacing w:before="0" w:after="120"/>
      </w:pPr>
    </w:p>
    <w:p>
      <w:pPr>
        <w:spacing w:before="200" w:after="80"/>
      </w:pPr>
      <w:r>
        <w:rPr>
          <w:rFonts w:ascii="Arial" w:cs="Arial" w:eastAsia="Arial" w:hAnsi="Arial"/>
          <w:b/>
          <w:bCs/>
          <w:color w:val="1A7A6E"/>
          <w:sz w:val="22"/>
          <w:szCs w:val="22"/>
        </w:rPr>
        <w:t xml:space="preserve">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1"/>
              <w:left w:val="single" w:color="1F5EAA" w:sz="6"/>
              <w:bottom w:val="single" w:color="D0D5E0" w:sz="1"/>
              <w:right w:val="single" w:color="D0D5E0" w:sz="1"/>
            </w:tcBorders>
            <w:shd w:fill="EBF0F8" w:val="clear"/>
            <w:tcMar>
              <w:top w:type="dxa" w:w="120"/>
              <w:left w:type="dxa" w:w="240"/>
              <w:bottom w:type="dxa" w:w="120"/>
              <w:right w:type="dxa" w:w="180"/>
            </w:tcMar>
          </w:tcPr>
          <w:p>
            <w:pPr>
              <w:spacing w:before="20" w:after="20"/>
            </w:pPr>
            <w:r>
              <w:rPr>
                <w:rFonts w:ascii="Courier New" w:cs="Courier New" w:eastAsia="Courier New" w:hAnsi="Courier New"/>
                <w:color w:val="1A3A6E"/>
                <w:sz w:val="19"/>
                <w:szCs w:val="19"/>
              </w:rPr>
              <w:t xml:space="preserve">SAMEPERIODLASTYEAR(&lt;dates&gt;)</w:t>
            </w:r>
          </w:p>
        </w:tc>
      </w:tr>
    </w:tbl>
    <w:p>
      <w:pPr>
        <w:spacing w:before="0" w:after="80"/>
      </w:pPr>
    </w:p>
    <w:p>
      <w:pPr>
        <w:spacing w:before="200" w:after="80"/>
      </w:pPr>
      <w:r>
        <w:rPr>
          <w:rFonts w:ascii="Arial" w:cs="Arial" w:eastAsia="Arial" w:hAnsi="Arial"/>
          <w:b/>
          <w:bCs/>
          <w:color w:val="1A7A6E"/>
          <w:sz w:val="22"/>
          <w:szCs w:val="22"/>
        </w:rPr>
        <w:t xml:space="preserve">Description</w:t>
      </w:r>
    </w:p>
    <w:p>
      <w:pPr>
        <w:spacing w:before="0" w:after="100"/>
        <w:jc w:val="both"/>
      </w:pPr>
      <w:r>
        <w:rPr>
          <w:rFonts w:ascii="Arial" w:cs="Arial" w:eastAsia="Arial" w:hAnsi="Arial"/>
          <w:color w:val="4A5568"/>
          <w:sz w:val="21"/>
          <w:szCs w:val="21"/>
        </w:rPr>
        <w:t xml:space="preserve">Returns a table of dates shifted exactly one year back from the current filter context. Requires a properly configured Date table with a continuous date range. Used to compare current-period performance against the same period in the prior year.</w:t>
      </w:r>
    </w:p>
    <w:p>
      <w:pPr>
        <w:spacing w:before="200" w:after="80"/>
      </w:pPr>
      <w:r>
        <w:rPr>
          <w:rFonts w:ascii="Arial" w:cs="Arial" w:eastAsia="Arial" w:hAnsi="Arial"/>
          <w:b/>
          <w:bCs/>
          <w:color w:val="1A7A6E"/>
          <w:sz w:val="22"/>
          <w:szCs w:val="22"/>
        </w:rPr>
        <w:t xml:space="preserve">Usage in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1"/>
              <w:left w:val="single" w:color="1F5EAA" w:sz="6"/>
              <w:bottom w:val="single" w:color="D0D5E0" w:sz="1"/>
              <w:right w:val="single" w:color="D0D5E0" w:sz="1"/>
            </w:tcBorders>
            <w:shd w:fill="EBF0F8" w:val="clear"/>
            <w:tcMar>
              <w:top w:type="dxa" w:w="120"/>
              <w:left w:type="dxa" w:w="240"/>
              <w:bottom w:type="dxa" w:w="120"/>
              <w:right w:type="dxa" w:w="180"/>
            </w:tcMar>
          </w:tcPr>
          <w:p>
            <w:pPr>
              <w:spacing w:before="20" w:after="20"/>
            </w:pPr>
            <w:r>
              <w:rPr>
                <w:rFonts w:ascii="Courier New" w:cs="Courier New" w:eastAsia="Courier New" w:hAnsi="Courier New"/>
                <w:color w:val="1A3A6E"/>
                <w:sz w:val="19"/>
                <w:szCs w:val="19"/>
              </w:rPr>
              <w:t xml:space="preserve">LY Sales = CALCULATE(</w:t>
            </w:r>
          </w:p>
          <w:p>
            <w:pPr>
              <w:spacing w:before="20" w:after="20"/>
            </w:pPr>
            <w:r>
              <w:rPr>
                <w:rFonts w:ascii="Courier New" w:cs="Courier New" w:eastAsia="Courier New" w:hAnsi="Courier New"/>
                <w:color w:val="1A3A6E"/>
                <w:sz w:val="19"/>
                <w:szCs w:val="19"/>
              </w:rPr>
              <w:t xml:space="preserve">    [Total Sales],</w:t>
            </w:r>
          </w:p>
          <w:p>
            <w:pPr>
              <w:spacing w:before="20" w:after="20"/>
            </w:pPr>
            <w:r>
              <w:rPr>
                <w:rFonts w:ascii="Courier New" w:cs="Courier New" w:eastAsia="Courier New" w:hAnsi="Courier New"/>
                <w:color w:val="1A3A6E"/>
                <w:sz w:val="19"/>
                <w:szCs w:val="19"/>
              </w:rPr>
              <w:t xml:space="preserve">    SAMEPERIODLASTYEAR('Date'[Date])</w:t>
            </w:r>
          </w:p>
          <w:p>
            <w:pPr>
              <w:spacing w:before="20" w:after="20"/>
            </w:pPr>
            <w:r>
              <w:rPr>
                <w:rFonts w:ascii="Courier New" w:cs="Courier New" w:eastAsia="Courier New" w:hAnsi="Courier New"/>
                <w:color w:val="1A3A6E"/>
                <w:sz w:val="19"/>
                <w:szCs w:val="19"/>
              </w:rPr>
              <w:t xml:space="preserve">)</w:t>
            </w:r>
          </w:p>
        </w:tc>
      </w:tr>
    </w:tbl>
    <w:p>
      <w:pPr>
        <w:spacing w:before="200" w:after="80"/>
      </w:pPr>
      <w:r>
        <w:rPr>
          <w:rFonts w:ascii="Arial" w:cs="Arial" w:eastAsia="Arial" w:hAnsi="Arial"/>
          <w:b/>
          <w:bCs/>
          <w:color w:val="1A7A6E"/>
          <w:sz w:val="22"/>
          <w:szCs w:val="22"/>
        </w:rPr>
        <w:t xml:space="preserve">Prerequisite</w:t>
      </w:r>
    </w:p>
    <w:p>
      <w:pPr>
        <w:spacing w:before="0" w:after="100"/>
        <w:jc w:val="both"/>
      </w:pPr>
      <w:r>
        <w:rPr>
          <w:rFonts w:ascii="Arial" w:cs="Arial" w:eastAsia="Arial" w:hAnsi="Arial"/>
          <w:color w:val="4A5568"/>
          <w:sz w:val="21"/>
          <w:szCs w:val="21"/>
        </w:rPr>
        <w:t xml:space="preserve">A custom Date table was created in Power Query with Year, Quarter, Month, and Day columns, marked as a Date Table in Power BI. This enables all time intelligence functions to work correctly.</w:t>
      </w:r>
    </w:p>
    <w:p>
      <w:pPr>
        <w:spacing w:before="0" w:after="200"/>
      </w:pPr>
    </w:p>
    <w:p>
      <w:pPr>
        <w:spacing w:before="300" w:after="120"/>
      </w:pPr>
      <w:r>
        <w:rPr>
          <w:rFonts w:ascii="Arial" w:cs="Arial" w:eastAsia="Arial" w:hAnsi="Arial"/>
          <w:b/>
          <w:bCs/>
          <w:color w:val="1B2A4A"/>
          <w:sz w:val="26"/>
          <w:szCs w:val="26"/>
        </w:rPr>
        <w:t xml:space="preserve">2.6  RANKX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02A" w:sz="6"/>
              <w:left w:val="single" w:color="D0D5E0" w:sz="1"/>
              <w:bottom w:val="single" w:color="D0D5E0" w:sz="1"/>
              <w:right w:val="single" w:color="D0D5E0" w:sz="1"/>
            </w:tcBorders>
            <w:shd w:fill="FDF6E8" w:val="clear"/>
            <w:tcMar>
              <w:top w:type="dxa" w:w="160"/>
              <w:left w:type="dxa" w:w="220"/>
              <w:bottom w:type="dxa" w:w="160"/>
              <w:right w:type="dxa" w:w="220"/>
            </w:tcMar>
          </w:tcPr>
          <w:p>
            <w:pPr>
              <w:spacing w:before="0" w:after="80"/>
            </w:pPr>
            <w:r>
              <w:rPr>
                <w:rFonts w:ascii="Arial" w:cs="Arial" w:eastAsia="Arial" w:hAnsi="Arial"/>
                <w:b/>
                <w:bCs/>
                <w:color w:val="C8902A"/>
                <w:sz w:val="21"/>
                <w:szCs w:val="21"/>
              </w:rPr>
              <w:t xml:space="preserve">Category</w:t>
            </w:r>
          </w:p>
          <w:p>
            <w:pPr>
              <w:spacing w:before="0" w:after="0"/>
            </w:pPr>
            <w:r>
              <w:rPr>
                <w:rFonts w:ascii="Arial" w:cs="Arial" w:eastAsia="Arial" w:hAnsi="Arial"/>
                <w:color w:val="4A5568"/>
                <w:sz w:val="20"/>
                <w:szCs w:val="20"/>
              </w:rPr>
              <w:t xml:space="preserve">Ranking  |  Used in: Top Products Rank</w:t>
            </w:r>
          </w:p>
        </w:tc>
      </w:tr>
    </w:tbl>
    <w:p>
      <w:pPr>
        <w:spacing w:before="0" w:after="120"/>
      </w:pPr>
    </w:p>
    <w:p>
      <w:pPr>
        <w:spacing w:before="200" w:after="80"/>
      </w:pPr>
      <w:r>
        <w:rPr>
          <w:rFonts w:ascii="Arial" w:cs="Arial" w:eastAsia="Arial" w:hAnsi="Arial"/>
          <w:b/>
          <w:bCs/>
          <w:color w:val="1A7A6E"/>
          <w:sz w:val="22"/>
          <w:szCs w:val="22"/>
        </w:rPr>
        <w:t xml:space="preserve">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1"/>
              <w:left w:val="single" w:color="1F5EAA" w:sz="6"/>
              <w:bottom w:val="single" w:color="D0D5E0" w:sz="1"/>
              <w:right w:val="single" w:color="D0D5E0" w:sz="1"/>
            </w:tcBorders>
            <w:shd w:fill="EBF0F8" w:val="clear"/>
            <w:tcMar>
              <w:top w:type="dxa" w:w="120"/>
              <w:left w:type="dxa" w:w="240"/>
              <w:bottom w:type="dxa" w:w="120"/>
              <w:right w:type="dxa" w:w="180"/>
            </w:tcMar>
          </w:tcPr>
          <w:p>
            <w:pPr>
              <w:spacing w:before="20" w:after="20"/>
            </w:pPr>
            <w:r>
              <w:rPr>
                <w:rFonts w:ascii="Courier New" w:cs="Courier New" w:eastAsia="Courier New" w:hAnsi="Courier New"/>
                <w:color w:val="1A3A6E"/>
                <w:sz w:val="19"/>
                <w:szCs w:val="19"/>
              </w:rPr>
              <w:t xml:space="preserve">RANKX(&lt;table&gt;, &lt;expression&gt;, [&lt;value&gt;], [&lt;order&gt;], [&lt;ties&gt;])</w:t>
            </w:r>
          </w:p>
        </w:tc>
      </w:tr>
    </w:tbl>
    <w:p>
      <w:pPr>
        <w:spacing w:before="0" w:after="80"/>
      </w:pPr>
    </w:p>
    <w:p>
      <w:pPr>
        <w:spacing w:before="200" w:after="80"/>
      </w:pPr>
      <w:r>
        <w:rPr>
          <w:rFonts w:ascii="Arial" w:cs="Arial" w:eastAsia="Arial" w:hAnsi="Arial"/>
          <w:b/>
          <w:bCs/>
          <w:color w:val="1A7A6E"/>
          <w:sz w:val="22"/>
          <w:szCs w:val="22"/>
        </w:rPr>
        <w:t xml:space="preserve">Description</w:t>
      </w:r>
    </w:p>
    <w:p>
      <w:pPr>
        <w:spacing w:before="0" w:after="100"/>
        <w:jc w:val="both"/>
      </w:pPr>
      <w:r>
        <w:rPr>
          <w:rFonts w:ascii="Arial" w:cs="Arial" w:eastAsia="Arial" w:hAnsi="Arial"/>
          <w:color w:val="4A5568"/>
          <w:sz w:val="21"/>
          <w:szCs w:val="21"/>
        </w:rPr>
        <w:t xml:space="preserve">RANKX ranks each row in a table based on an expression. It is used to create leaderboards of top-performing drugs, sales agents, or regions. The Dense tie-breaking option ensures no rank numbers are skipped.</w:t>
      </w:r>
    </w:p>
    <w:p>
      <w:pPr>
        <w:spacing w:before="200" w:after="80"/>
      </w:pPr>
      <w:r>
        <w:rPr>
          <w:rFonts w:ascii="Arial" w:cs="Arial" w:eastAsia="Arial" w:hAnsi="Arial"/>
          <w:b/>
          <w:bCs/>
          <w:color w:val="1A7A6E"/>
          <w:sz w:val="22"/>
          <w:szCs w:val="22"/>
        </w:rPr>
        <w:t xml:space="preserve">Usage in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1"/>
              <w:left w:val="single" w:color="1F5EAA" w:sz="6"/>
              <w:bottom w:val="single" w:color="D0D5E0" w:sz="1"/>
              <w:right w:val="single" w:color="D0D5E0" w:sz="1"/>
            </w:tcBorders>
            <w:shd w:fill="EBF0F8" w:val="clear"/>
            <w:tcMar>
              <w:top w:type="dxa" w:w="120"/>
              <w:left w:type="dxa" w:w="240"/>
              <w:bottom w:type="dxa" w:w="120"/>
              <w:right w:type="dxa" w:w="180"/>
            </w:tcMar>
          </w:tcPr>
          <w:p>
            <w:pPr>
              <w:spacing w:before="20" w:after="20"/>
            </w:pPr>
            <w:r>
              <w:rPr>
                <w:rFonts w:ascii="Courier New" w:cs="Courier New" w:eastAsia="Courier New" w:hAnsi="Courier New"/>
                <w:color w:val="1A3A6E"/>
                <w:sz w:val="19"/>
                <w:szCs w:val="19"/>
              </w:rPr>
              <w:t xml:space="preserve">Top Products Rank = RANKX(</w:t>
            </w:r>
          </w:p>
          <w:p>
            <w:pPr>
              <w:spacing w:before="20" w:after="20"/>
            </w:pPr>
            <w:r>
              <w:rPr>
                <w:rFonts w:ascii="Courier New" w:cs="Courier New" w:eastAsia="Courier New" w:hAnsi="Courier New"/>
                <w:color w:val="1A3A6E"/>
                <w:sz w:val="19"/>
                <w:szCs w:val="19"/>
              </w:rPr>
              <w:t xml:space="preserve">    ALL('LinkedDrugs'),</w:t>
            </w:r>
          </w:p>
          <w:p>
            <w:pPr>
              <w:spacing w:before="20" w:after="20"/>
            </w:pPr>
            <w:r>
              <w:rPr>
                <w:rFonts w:ascii="Courier New" w:cs="Courier New" w:eastAsia="Courier New" w:hAnsi="Courier New"/>
                <w:color w:val="1A3A6E"/>
                <w:sz w:val="19"/>
                <w:szCs w:val="19"/>
              </w:rPr>
              <w:t xml:space="preserve">    [Total Sales],</w:t>
            </w:r>
          </w:p>
          <w:p>
            <w:pPr>
              <w:spacing w:before="20" w:after="20"/>
            </w:pPr>
            <w:r>
              <w:rPr>
                <w:rFonts w:ascii="Courier New" w:cs="Courier New" w:eastAsia="Courier New" w:hAnsi="Courier New"/>
                <w:color w:val="1A3A6E"/>
                <w:sz w:val="19"/>
                <w:szCs w:val="19"/>
              </w:rPr>
              <w:t xml:space="preserve">    ,</w:t>
            </w:r>
          </w:p>
          <w:p>
            <w:pPr>
              <w:spacing w:before="20" w:after="20"/>
            </w:pPr>
            <w:r>
              <w:rPr>
                <w:rFonts w:ascii="Courier New" w:cs="Courier New" w:eastAsia="Courier New" w:hAnsi="Courier New"/>
                <w:color w:val="1A3A6E"/>
                <w:sz w:val="19"/>
                <w:szCs w:val="19"/>
              </w:rPr>
              <w:t xml:space="preserve">    DESC,</w:t>
            </w:r>
          </w:p>
          <w:p>
            <w:pPr>
              <w:spacing w:before="20" w:after="20"/>
            </w:pPr>
            <w:r>
              <w:rPr>
                <w:rFonts w:ascii="Courier New" w:cs="Courier New" w:eastAsia="Courier New" w:hAnsi="Courier New"/>
                <w:color w:val="1A3A6E"/>
                <w:sz w:val="19"/>
                <w:szCs w:val="19"/>
              </w:rPr>
              <w:t xml:space="preserve">    Dense</w:t>
            </w:r>
          </w:p>
          <w:p>
            <w:pPr>
              <w:spacing w:before="20" w:after="20"/>
            </w:pPr>
            <w:r>
              <w:rPr>
                <w:rFonts w:ascii="Courier New" w:cs="Courier New" w:eastAsia="Courier New" w:hAnsi="Courier New"/>
                <w:color w:val="1A3A6E"/>
                <w:sz w:val="19"/>
                <w:szCs w:val="19"/>
              </w:rPr>
              <w:t xml:space="preserve">)</w:t>
            </w:r>
          </w:p>
        </w:tc>
      </w:tr>
    </w:tbl>
    <w:p>
      <w:pPr>
        <w:spacing w:before="0" w:after="200"/>
      </w:pPr>
    </w:p>
    <w:p>
      <w:pPr>
        <w:spacing w:before="300" w:after="120"/>
      </w:pPr>
      <w:r>
        <w:rPr>
          <w:rFonts w:ascii="Arial" w:cs="Arial" w:eastAsia="Arial" w:hAnsi="Arial"/>
          <w:b/>
          <w:bCs/>
          <w:color w:val="1B2A4A"/>
          <w:sz w:val="26"/>
          <w:szCs w:val="26"/>
        </w:rPr>
        <w:t xml:space="preserve">2.7  DATEDIFF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6"/>
              <w:left w:val="single" w:color="D0D5E0" w:sz="1"/>
              <w:bottom w:val="single" w:color="D0D5E0" w:sz="1"/>
              <w:right w:val="single" w:color="D0D5E0" w:sz="1"/>
            </w:tcBorders>
            <w:shd w:fill="EEF3FB" w:val="clear"/>
            <w:tcMar>
              <w:top w:type="dxa" w:w="160"/>
              <w:left w:type="dxa" w:w="220"/>
              <w:bottom w:type="dxa" w:w="160"/>
              <w:right w:type="dxa" w:w="220"/>
            </w:tcMar>
          </w:tcPr>
          <w:p>
            <w:pPr>
              <w:spacing w:before="0" w:after="80"/>
            </w:pPr>
            <w:r>
              <w:rPr>
                <w:rFonts w:ascii="Arial" w:cs="Arial" w:eastAsia="Arial" w:hAnsi="Arial"/>
                <w:b/>
                <w:bCs/>
                <w:color w:val="1F5EAA"/>
                <w:sz w:val="21"/>
                <w:szCs w:val="21"/>
              </w:rPr>
              <w:t xml:space="preserve">Category</w:t>
            </w:r>
          </w:p>
          <w:p>
            <w:pPr>
              <w:spacing w:before="0" w:after="0"/>
            </w:pPr>
            <w:r>
              <w:rPr>
                <w:rFonts w:ascii="Arial" w:cs="Arial" w:eastAsia="Arial" w:hAnsi="Arial"/>
                <w:color w:val="4A5568"/>
                <w:sz w:val="20"/>
                <w:szCs w:val="20"/>
              </w:rPr>
              <w:t xml:space="preserve">Date &amp; Time  |  Used in: Drug Expiry Calculations</w:t>
            </w:r>
          </w:p>
        </w:tc>
      </w:tr>
    </w:tbl>
    <w:p>
      <w:pPr>
        <w:spacing w:before="0" w:after="120"/>
      </w:pPr>
    </w:p>
    <w:p>
      <w:pPr>
        <w:spacing w:before="200" w:after="80"/>
      </w:pPr>
      <w:r>
        <w:rPr>
          <w:rFonts w:ascii="Arial" w:cs="Arial" w:eastAsia="Arial" w:hAnsi="Arial"/>
          <w:b/>
          <w:bCs/>
          <w:color w:val="1A7A6E"/>
          <w:sz w:val="22"/>
          <w:szCs w:val="22"/>
        </w:rPr>
        <w:t xml:space="preserve">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1"/>
              <w:left w:val="single" w:color="1F5EAA" w:sz="6"/>
              <w:bottom w:val="single" w:color="D0D5E0" w:sz="1"/>
              <w:right w:val="single" w:color="D0D5E0" w:sz="1"/>
            </w:tcBorders>
            <w:shd w:fill="EBF0F8" w:val="clear"/>
            <w:tcMar>
              <w:top w:type="dxa" w:w="120"/>
              <w:left w:type="dxa" w:w="240"/>
              <w:bottom w:type="dxa" w:w="120"/>
              <w:right w:type="dxa" w:w="180"/>
            </w:tcMar>
          </w:tcPr>
          <w:p>
            <w:pPr>
              <w:spacing w:before="20" w:after="20"/>
            </w:pPr>
            <w:r>
              <w:rPr>
                <w:rFonts w:ascii="Courier New" w:cs="Courier New" w:eastAsia="Courier New" w:hAnsi="Courier New"/>
                <w:color w:val="1A3A6E"/>
                <w:sz w:val="19"/>
                <w:szCs w:val="19"/>
              </w:rPr>
              <w:t xml:space="preserve">DATEDIFF(&lt;start_date&gt;, &lt;end_date&gt;, &lt;interval&gt;)</w:t>
            </w:r>
          </w:p>
        </w:tc>
      </w:tr>
    </w:tbl>
    <w:p>
      <w:pPr>
        <w:spacing w:before="0" w:after="80"/>
      </w:pPr>
    </w:p>
    <w:p>
      <w:pPr>
        <w:spacing w:before="200" w:after="80"/>
      </w:pPr>
      <w:r>
        <w:rPr>
          <w:rFonts w:ascii="Arial" w:cs="Arial" w:eastAsia="Arial" w:hAnsi="Arial"/>
          <w:b/>
          <w:bCs/>
          <w:color w:val="1A7A6E"/>
          <w:sz w:val="22"/>
          <w:szCs w:val="22"/>
        </w:rPr>
        <w:t xml:space="preserve">Description</w:t>
      </w:r>
    </w:p>
    <w:p>
      <w:pPr>
        <w:spacing w:before="0" w:after="100"/>
        <w:jc w:val="both"/>
      </w:pPr>
      <w:r>
        <w:rPr>
          <w:rFonts w:ascii="Arial" w:cs="Arial" w:eastAsia="Arial" w:hAnsi="Arial"/>
          <w:color w:val="4A5568"/>
          <w:sz w:val="21"/>
          <w:szCs w:val="21"/>
        </w:rPr>
        <w:t xml:space="preserve">DATEDIFF calculates the difference between two dates in a specified interval (DAY, MONTH, YEAR, etc.). In this project it powers the drug shelf-life and expiry monitoring module.</w:t>
      </w:r>
    </w:p>
    <w:p>
      <w:pPr>
        <w:spacing w:before="200" w:after="80"/>
      </w:pPr>
      <w:r>
        <w:rPr>
          <w:rFonts w:ascii="Arial" w:cs="Arial" w:eastAsia="Arial" w:hAnsi="Arial"/>
          <w:b/>
          <w:bCs/>
          <w:color w:val="1A7A6E"/>
          <w:sz w:val="22"/>
          <w:szCs w:val="22"/>
        </w:rPr>
        <w:t xml:space="preserve">Usage in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1"/>
              <w:left w:val="single" w:color="1F5EAA" w:sz="6"/>
              <w:bottom w:val="single" w:color="D0D5E0" w:sz="1"/>
              <w:right w:val="single" w:color="D0D5E0" w:sz="1"/>
            </w:tcBorders>
            <w:shd w:fill="EBF0F8" w:val="clear"/>
            <w:tcMar>
              <w:top w:type="dxa" w:w="120"/>
              <w:left w:type="dxa" w:w="240"/>
              <w:bottom w:type="dxa" w:w="120"/>
              <w:right w:type="dxa" w:w="180"/>
            </w:tcMar>
          </w:tcPr>
          <w:p>
            <w:pPr>
              <w:spacing w:before="20" w:after="20"/>
            </w:pPr>
            <w:r>
              <w:rPr>
                <w:rFonts w:ascii="Courier New" w:cs="Courier New" w:eastAsia="Courier New" w:hAnsi="Courier New"/>
                <w:color w:val="1A3A6E"/>
                <w:sz w:val="19"/>
                <w:szCs w:val="19"/>
              </w:rPr>
              <w:t xml:space="preserve">Months To Expiry = DATEDIFF(TODAY(), 'LinkedDrugs'[ExpiryDate], MONTH)</w:t>
            </w:r>
          </w:p>
          <w:p>
            <w:pPr>
              <w:spacing w:before="20" w:after="20"/>
            </w:pPr>
            <w:r>
              <w:rPr>
                <w:rFonts w:ascii="Courier New" w:cs="Courier New" w:eastAsia="Courier New" w:hAnsi="Courier New"/>
                <w:color w:val="1A3A6E"/>
                <w:sz w:val="19"/>
                <w:szCs w:val="19"/>
              </w:rPr>
              <w:t xml:space="preserve"/>
            </w:r>
          </w:p>
          <w:p>
            <w:pPr>
              <w:spacing w:before="20" w:after="20"/>
            </w:pPr>
            <w:r>
              <w:rPr>
                <w:rFonts w:ascii="Courier New" w:cs="Courier New" w:eastAsia="Courier New" w:hAnsi="Courier New"/>
                <w:color w:val="1A3A6E"/>
                <w:sz w:val="19"/>
                <w:szCs w:val="19"/>
              </w:rPr>
              <w:t xml:space="preserve">Expiry Flag = IF([Months To Expiry] &lt;= 12, "Critical",</w:t>
            </w:r>
          </w:p>
          <w:p>
            <w:pPr>
              <w:spacing w:before="20" w:after="20"/>
            </w:pPr>
            <w:r>
              <w:rPr>
                <w:rFonts w:ascii="Courier New" w:cs="Courier New" w:eastAsia="Courier New" w:hAnsi="Courier New"/>
                <w:color w:val="1A3A6E"/>
                <w:sz w:val="19"/>
                <w:szCs w:val="19"/>
              </w:rPr>
              <w:t xml:space="preserve">              IF([Months To Expiry] &lt;= 18, "Warning", "Safe"))</w:t>
            </w:r>
          </w:p>
        </w:tc>
      </w:tr>
    </w:tbl>
    <w:p>
      <w:pPr>
        <w:spacing w:before="0" w:after="200"/>
      </w:pPr>
    </w:p>
    <w:p>
      <w:pPr>
        <w:spacing w:before="300" w:after="120"/>
      </w:pPr>
      <w:r>
        <w:rPr>
          <w:rFonts w:ascii="Arial" w:cs="Arial" w:eastAsia="Arial" w:hAnsi="Arial"/>
          <w:b/>
          <w:bCs/>
          <w:color w:val="1B2A4A"/>
          <w:sz w:val="26"/>
          <w:szCs w:val="26"/>
        </w:rPr>
        <w:t xml:space="preserve">2.8  AVERAGE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6E" w:sz="6"/>
              <w:left w:val="single" w:color="D0D5E0" w:sz="1"/>
              <w:bottom w:val="single" w:color="D0D5E0" w:sz="1"/>
              <w:right w:val="single" w:color="D0D5E0" w:sz="1"/>
            </w:tcBorders>
            <w:shd w:fill="E8F5F3" w:val="clear"/>
            <w:tcMar>
              <w:top w:type="dxa" w:w="160"/>
              <w:left w:type="dxa" w:w="220"/>
              <w:bottom w:type="dxa" w:w="160"/>
              <w:right w:type="dxa" w:w="220"/>
            </w:tcMar>
          </w:tcPr>
          <w:p>
            <w:pPr>
              <w:spacing w:before="0" w:after="80"/>
            </w:pPr>
            <w:r>
              <w:rPr>
                <w:rFonts w:ascii="Arial" w:cs="Arial" w:eastAsia="Arial" w:hAnsi="Arial"/>
                <w:b/>
                <w:bCs/>
                <w:color w:val="1A7A6E"/>
                <w:sz w:val="21"/>
                <w:szCs w:val="21"/>
              </w:rPr>
              <w:t xml:space="preserve">Category</w:t>
            </w:r>
          </w:p>
          <w:p>
            <w:pPr>
              <w:spacing w:before="0" w:after="0"/>
            </w:pPr>
            <w:r>
              <w:rPr>
                <w:rFonts w:ascii="Arial" w:cs="Arial" w:eastAsia="Arial" w:hAnsi="Arial"/>
                <w:color w:val="4A5568"/>
                <w:sz w:val="20"/>
                <w:szCs w:val="20"/>
              </w:rPr>
              <w:t xml:space="preserve">Aggregation  |  Used in: On-Time Delivery Rate, Revenue Planning</w:t>
            </w:r>
          </w:p>
        </w:tc>
      </w:tr>
    </w:tbl>
    <w:p>
      <w:pPr>
        <w:spacing w:before="0" w:after="120"/>
      </w:pPr>
    </w:p>
    <w:p>
      <w:pPr>
        <w:spacing w:before="200" w:after="80"/>
      </w:pPr>
      <w:r>
        <w:rPr>
          <w:rFonts w:ascii="Arial" w:cs="Arial" w:eastAsia="Arial" w:hAnsi="Arial"/>
          <w:b/>
          <w:bCs/>
          <w:color w:val="1A7A6E"/>
          <w:sz w:val="22"/>
          <w:szCs w:val="22"/>
        </w:rPr>
        <w:t xml:space="preserve">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1"/>
              <w:left w:val="single" w:color="1F5EAA" w:sz="6"/>
              <w:bottom w:val="single" w:color="D0D5E0" w:sz="1"/>
              <w:right w:val="single" w:color="D0D5E0" w:sz="1"/>
            </w:tcBorders>
            <w:shd w:fill="EBF0F8" w:val="clear"/>
            <w:tcMar>
              <w:top w:type="dxa" w:w="120"/>
              <w:left w:type="dxa" w:w="240"/>
              <w:bottom w:type="dxa" w:w="120"/>
              <w:right w:type="dxa" w:w="180"/>
            </w:tcMar>
          </w:tcPr>
          <w:p>
            <w:pPr>
              <w:spacing w:before="20" w:after="20"/>
            </w:pPr>
            <w:r>
              <w:rPr>
                <w:rFonts w:ascii="Courier New" w:cs="Courier New" w:eastAsia="Courier New" w:hAnsi="Courier New"/>
                <w:color w:val="1A3A6E"/>
                <w:sz w:val="19"/>
                <w:szCs w:val="19"/>
              </w:rPr>
              <w:t xml:space="preserve">AVERAGE(&lt;column&gt;)</w:t>
            </w:r>
          </w:p>
        </w:tc>
      </w:tr>
    </w:tbl>
    <w:p>
      <w:pPr>
        <w:spacing w:before="0" w:after="80"/>
      </w:pPr>
    </w:p>
    <w:p>
      <w:pPr>
        <w:spacing w:before="200" w:after="80"/>
      </w:pPr>
      <w:r>
        <w:rPr>
          <w:rFonts w:ascii="Arial" w:cs="Arial" w:eastAsia="Arial" w:hAnsi="Arial"/>
          <w:b/>
          <w:bCs/>
          <w:color w:val="1A7A6E"/>
          <w:sz w:val="22"/>
          <w:szCs w:val="22"/>
        </w:rPr>
        <w:t xml:space="preserve">Description</w:t>
      </w:r>
    </w:p>
    <w:p>
      <w:pPr>
        <w:spacing w:before="0" w:after="100"/>
        <w:jc w:val="both"/>
      </w:pPr>
      <w:r>
        <w:rPr>
          <w:rFonts w:ascii="Arial" w:cs="Arial" w:eastAsia="Arial" w:hAnsi="Arial"/>
          <w:color w:val="4A5568"/>
          <w:sz w:val="21"/>
          <w:szCs w:val="21"/>
        </w:rPr>
        <w:t xml:space="preserve">AVERAGE returns the arithmetic mean of all values in a column. Used to calculate average supplier delivery rates and average unit prices for revenue planning.</w:t>
      </w:r>
    </w:p>
    <w:p>
      <w:pPr>
        <w:spacing w:before="200" w:after="80"/>
      </w:pPr>
      <w:r>
        <w:rPr>
          <w:rFonts w:ascii="Arial" w:cs="Arial" w:eastAsia="Arial" w:hAnsi="Arial"/>
          <w:b/>
          <w:bCs/>
          <w:color w:val="1A7A6E"/>
          <w:sz w:val="22"/>
          <w:szCs w:val="22"/>
        </w:rPr>
        <w:t xml:space="preserve">Usage in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1"/>
              <w:left w:val="single" w:color="1F5EAA" w:sz="6"/>
              <w:bottom w:val="single" w:color="D0D5E0" w:sz="1"/>
              <w:right w:val="single" w:color="D0D5E0" w:sz="1"/>
            </w:tcBorders>
            <w:shd w:fill="EBF0F8" w:val="clear"/>
            <w:tcMar>
              <w:top w:type="dxa" w:w="120"/>
              <w:left w:type="dxa" w:w="240"/>
              <w:bottom w:type="dxa" w:w="120"/>
              <w:right w:type="dxa" w:w="180"/>
            </w:tcMar>
          </w:tcPr>
          <w:p>
            <w:pPr>
              <w:spacing w:before="20" w:after="20"/>
            </w:pPr>
            <w:r>
              <w:rPr>
                <w:rFonts w:ascii="Courier New" w:cs="Courier New" w:eastAsia="Courier New" w:hAnsi="Courier New"/>
                <w:color w:val="1A3A6E"/>
                <w:sz w:val="19"/>
                <w:szCs w:val="19"/>
              </w:rPr>
              <w:t xml:space="preserve">On-Time Delivery Rate = AVERAGE(Supplier[OnTimeDeliveryRate])</w:t>
            </w:r>
          </w:p>
          <w:p>
            <w:pPr>
              <w:spacing w:before="20" w:after="20"/>
            </w:pPr>
            <w:r>
              <w:rPr>
                <w:rFonts w:ascii="Courier New" w:cs="Courier New" w:eastAsia="Courier New" w:hAnsi="Courier New"/>
                <w:color w:val="1A3A6E"/>
                <w:sz w:val="19"/>
                <w:szCs w:val="19"/>
              </w:rPr>
              <w:t xml:space="preserve">Revenue Planning      = [Stock Available] * AVERAGE('Sales Agent'[UnitPrice])</w:t>
            </w:r>
          </w:p>
        </w:tc>
      </w:tr>
    </w:tbl>
    <w:p>
      <w:pPr>
        <w:spacing w:before="0" w:after="280"/>
      </w:pPr>
    </w:p>
    <w:p>
      <w:pPr>
        <w:pBdr>
          <w:bottom w:val="single" w:color="C8902A" w:sz="4" w:space="4"/>
        </w:pBdr>
        <w:spacing w:before="500" w:after="160"/>
      </w:pPr>
      <w:r>
        <w:rPr>
          <w:rFonts w:ascii="Arial" w:cs="Arial" w:eastAsia="Arial" w:hAnsi="Arial"/>
          <w:b/>
          <w:bCs/>
          <w:color w:val="1B2A4A"/>
          <w:sz w:val="36"/>
          <w:szCs w:val="36"/>
        </w:rPr>
        <w:t xml:space="preserve">3.  Data Connectors</w:t>
      </w:r>
    </w:p>
    <w:p>
      <w:pPr>
        <w:spacing w:before="0" w:after="80"/>
      </w:pPr>
    </w:p>
    <w:p>
      <w:pPr>
        <w:spacing w:before="0" w:after="100"/>
        <w:jc w:val="both"/>
      </w:pPr>
      <w:r>
        <w:rPr>
          <w:rFonts w:ascii="Arial" w:cs="Arial" w:eastAsia="Arial" w:hAnsi="Arial"/>
          <w:color w:val="4A5568"/>
          <w:sz w:val="21"/>
          <w:szCs w:val="21"/>
        </w:rPr>
        <w:t xml:space="preserve">The Pharma Sales Dashboard connects to six source files using Power BI's built-in connectors. All data flows through Power Query for transformation before loading into the data model.</w:t>
      </w:r>
    </w:p>
    <w:p>
      <w:pPr>
        <w:spacing w:before="0" w:after="160"/>
      </w:pPr>
    </w:p>
    <w:p>
      <w:pPr>
        <w:spacing w:before="300" w:after="120"/>
      </w:pPr>
      <w:r>
        <w:rPr>
          <w:rFonts w:ascii="Arial" w:cs="Arial" w:eastAsia="Arial" w:hAnsi="Arial"/>
          <w:b/>
          <w:bCs/>
          <w:color w:val="1B2A4A"/>
          <w:sz w:val="26"/>
          <w:szCs w:val="26"/>
        </w:rPr>
        <w:t xml:space="preserve">3.1  Connectors Summary Table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360"/>
        <w:gridCol w:w="3400"/>
      </w:tblGrid>
      <w:tr>
        <w:trPr>
          <w:tblHeader/>
        </w:trPr>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 Name</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Connector Type</w:t>
            </w:r>
          </w:p>
        </w:tc>
        <w:tc>
          <w:tcPr>
            <w:tcW w:type="dxa" w:w="2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File / Source</w:t>
            </w:r>
          </w:p>
        </w:tc>
        <w:tc>
          <w:tcPr>
            <w:tcW w:type="dxa" w:w="3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Loaded</w:t>
            </w:r>
          </w:p>
        </w:tc>
      </w:tr>
      <w:tr>
        <w:tc>
          <w:tcPr>
            <w:tcW w:type="dxa" w:w="20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Sales Agent</w:t>
            </w:r>
          </w:p>
        </w:tc>
        <w:tc>
          <w:tcPr>
            <w:tcW w:type="dxa" w:w="16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1A7A6E"/>
                <w:sz w:val="19"/>
                <w:szCs w:val="19"/>
              </w:rPr>
              <w:t xml:space="preserve">Excel Workbook</w:t>
            </w:r>
          </w:p>
        </w:tc>
        <w:tc>
          <w:tcPr>
            <w:tcW w:type="dxa" w:w="2360"/>
            <w:tcBorders>
              <w:top w:val="single" w:color="D0D5E0" w:sz="1"/>
              <w:left w:val="single" w:color="D0D5E0" w:sz="1"/>
              <w:bottom w:val="single" w:color="D0D5E0" w:sz="1"/>
              <w:right w:val="single" w:color="D0D5E0" w:sz="1"/>
            </w:tcBorders>
            <w:shd w:fill="EBF0F8" w:val="clear"/>
            <w:tcMar>
              <w:top w:type="dxa" w:w="90"/>
              <w:left w:type="dxa" w:w="140"/>
              <w:bottom w:type="dxa" w:w="90"/>
              <w:right w:type="dxa" w:w="140"/>
            </w:tcMar>
          </w:tcPr>
          <w:p>
            <w:r>
              <w:rPr>
                <w:rFonts w:ascii="Courier New" w:cs="Courier New" w:eastAsia="Courier New" w:hAnsi="Courier New"/>
                <w:color w:val="1A3A6E"/>
                <w:sz w:val="18"/>
                <w:szCs w:val="18"/>
              </w:rPr>
              <w:t xml:space="preserve">Sales Agent.xlsx</w:t>
            </w:r>
          </w:p>
        </w:tc>
        <w:tc>
          <w:tcPr>
            <w:tcW w:type="dxa" w:w="34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Sales transactions — units sold, price, region, agent</w:t>
            </w:r>
          </w:p>
        </w:tc>
      </w:tr>
      <w:tr>
        <w:tc>
          <w:tcPr>
            <w:tcW w:type="dxa" w:w="20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LinkedDrugs</w:t>
            </w:r>
          </w:p>
        </w:tc>
        <w:tc>
          <w:tcPr>
            <w:tcW w:type="dxa" w:w="16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1A7A6E"/>
                <w:sz w:val="19"/>
                <w:szCs w:val="19"/>
              </w:rPr>
              <w:t xml:space="preserve">Excel Workbook</w:t>
            </w:r>
          </w:p>
        </w:tc>
        <w:tc>
          <w:tcPr>
            <w:tcW w:type="dxa" w:w="2360"/>
            <w:tcBorders>
              <w:top w:val="single" w:color="D0D5E0" w:sz="1"/>
              <w:left w:val="single" w:color="D0D5E0" w:sz="1"/>
              <w:bottom w:val="single" w:color="D0D5E0" w:sz="1"/>
              <w:right w:val="single" w:color="D0D5E0" w:sz="1"/>
            </w:tcBorders>
            <w:shd w:fill="EBF0F8" w:val="clear"/>
            <w:tcMar>
              <w:top w:type="dxa" w:w="90"/>
              <w:left w:type="dxa" w:w="140"/>
              <w:bottom w:type="dxa" w:w="90"/>
              <w:right w:type="dxa" w:w="140"/>
            </w:tcMar>
          </w:tcPr>
          <w:p>
            <w:r>
              <w:rPr>
                <w:rFonts w:ascii="Courier New" w:cs="Courier New" w:eastAsia="Courier New" w:hAnsi="Courier New"/>
                <w:color w:val="1A3A6E"/>
                <w:sz w:val="18"/>
                <w:szCs w:val="18"/>
              </w:rPr>
              <w:t xml:space="preserve">LinkedDrugs.xlsx</w:t>
            </w:r>
          </w:p>
        </w:tc>
        <w:tc>
          <w:tcPr>
            <w:tcW w:type="dxa" w:w="34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Drug catalogue — name, category, manufacturer, expiry</w:t>
            </w:r>
          </w:p>
        </w:tc>
      </w:tr>
      <w:tr>
        <w:tc>
          <w:tcPr>
            <w:tcW w:type="dxa" w:w="20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LinkedManufacturers</w:t>
            </w:r>
          </w:p>
        </w:tc>
        <w:tc>
          <w:tcPr>
            <w:tcW w:type="dxa" w:w="16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1A7A6E"/>
                <w:sz w:val="19"/>
                <w:szCs w:val="19"/>
              </w:rPr>
              <w:t xml:space="preserve">Excel Workbook</w:t>
            </w:r>
          </w:p>
        </w:tc>
        <w:tc>
          <w:tcPr>
            <w:tcW w:type="dxa" w:w="2360"/>
            <w:tcBorders>
              <w:top w:val="single" w:color="D0D5E0" w:sz="1"/>
              <w:left w:val="single" w:color="D0D5E0" w:sz="1"/>
              <w:bottom w:val="single" w:color="D0D5E0" w:sz="1"/>
              <w:right w:val="single" w:color="D0D5E0" w:sz="1"/>
            </w:tcBorders>
            <w:shd w:fill="EBF0F8" w:val="clear"/>
            <w:tcMar>
              <w:top w:type="dxa" w:w="90"/>
              <w:left w:type="dxa" w:w="140"/>
              <w:bottom w:type="dxa" w:w="90"/>
              <w:right w:type="dxa" w:w="140"/>
            </w:tcMar>
          </w:tcPr>
          <w:p>
            <w:r>
              <w:rPr>
                <w:rFonts w:ascii="Courier New" w:cs="Courier New" w:eastAsia="Courier New" w:hAnsi="Courier New"/>
                <w:color w:val="1A3A6E"/>
                <w:sz w:val="18"/>
                <w:szCs w:val="18"/>
              </w:rPr>
              <w:t xml:space="preserve">LinkedManufacturers.xlsx</w:t>
            </w:r>
          </w:p>
        </w:tc>
        <w:tc>
          <w:tcPr>
            <w:tcW w:type="dxa" w:w="34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Manufacturer details — country, capacity, FDA approval</w:t>
            </w:r>
          </w:p>
        </w:tc>
      </w:tr>
      <w:tr>
        <w:tc>
          <w:tcPr>
            <w:tcW w:type="dxa" w:w="20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Inventory</w:t>
            </w:r>
          </w:p>
        </w:tc>
        <w:tc>
          <w:tcPr>
            <w:tcW w:type="dxa" w:w="16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1A7A6E"/>
                <w:sz w:val="19"/>
                <w:szCs w:val="19"/>
              </w:rPr>
              <w:t xml:space="preserve">Excel Workbook</w:t>
            </w:r>
          </w:p>
        </w:tc>
        <w:tc>
          <w:tcPr>
            <w:tcW w:type="dxa" w:w="2360"/>
            <w:tcBorders>
              <w:top w:val="single" w:color="D0D5E0" w:sz="1"/>
              <w:left w:val="single" w:color="D0D5E0" w:sz="1"/>
              <w:bottom w:val="single" w:color="D0D5E0" w:sz="1"/>
              <w:right w:val="single" w:color="D0D5E0" w:sz="1"/>
            </w:tcBorders>
            <w:shd w:fill="EBF0F8" w:val="clear"/>
            <w:tcMar>
              <w:top w:type="dxa" w:w="90"/>
              <w:left w:type="dxa" w:w="140"/>
              <w:bottom w:type="dxa" w:w="90"/>
              <w:right w:type="dxa" w:w="140"/>
            </w:tcMar>
          </w:tcPr>
          <w:p>
            <w:r>
              <w:rPr>
                <w:rFonts w:ascii="Courier New" w:cs="Courier New" w:eastAsia="Courier New" w:hAnsi="Courier New"/>
                <w:color w:val="1A3A6E"/>
                <w:sz w:val="18"/>
                <w:szCs w:val="18"/>
              </w:rPr>
              <w:t xml:space="preserve">Inventory.xlsx</w:t>
            </w:r>
          </w:p>
        </w:tc>
        <w:tc>
          <w:tcPr>
            <w:tcW w:type="dxa" w:w="34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Stock levels, supplier links, last restock date</w:t>
            </w:r>
          </w:p>
        </w:tc>
      </w:tr>
      <w:tr>
        <w:tc>
          <w:tcPr>
            <w:tcW w:type="dxa" w:w="20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bCs/>
                <w:color w:val="1B2A4A"/>
                <w:sz w:val="20"/>
                <w:szCs w:val="20"/>
              </w:rPr>
              <w:t xml:space="preserve">Supplier</w:t>
            </w:r>
          </w:p>
        </w:tc>
        <w:tc>
          <w:tcPr>
            <w:tcW w:type="dxa" w:w="16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1A7A6E"/>
                <w:sz w:val="19"/>
                <w:szCs w:val="19"/>
              </w:rPr>
              <w:t xml:space="preserve">Excel Workbook</w:t>
            </w:r>
          </w:p>
        </w:tc>
        <w:tc>
          <w:tcPr>
            <w:tcW w:type="dxa" w:w="2360"/>
            <w:tcBorders>
              <w:top w:val="single" w:color="D0D5E0" w:sz="1"/>
              <w:left w:val="single" w:color="D0D5E0" w:sz="1"/>
              <w:bottom w:val="single" w:color="D0D5E0" w:sz="1"/>
              <w:right w:val="single" w:color="D0D5E0" w:sz="1"/>
            </w:tcBorders>
            <w:shd w:fill="EBF0F8" w:val="clear"/>
            <w:tcMar>
              <w:top w:type="dxa" w:w="90"/>
              <w:left w:type="dxa" w:w="140"/>
              <w:bottom w:type="dxa" w:w="90"/>
              <w:right w:type="dxa" w:w="140"/>
            </w:tcMar>
          </w:tcPr>
          <w:p>
            <w:r>
              <w:rPr>
                <w:rFonts w:ascii="Courier New" w:cs="Courier New" w:eastAsia="Courier New" w:hAnsi="Courier New"/>
                <w:color w:val="1A3A6E"/>
                <w:sz w:val="18"/>
                <w:szCs w:val="18"/>
              </w:rPr>
              <w:t xml:space="preserve">Supplier.xlsx</w:t>
            </w:r>
          </w:p>
        </w:tc>
        <w:tc>
          <w:tcPr>
            <w:tcW w:type="dxa" w:w="34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4A5568"/>
                <w:sz w:val="19"/>
                <w:szCs w:val="19"/>
              </w:rPr>
              <w:t xml:space="preserve">Supplier name, region, on-time delivery rate, preferred</w:t>
            </w:r>
          </w:p>
        </w:tc>
      </w:tr>
      <w:tr>
        <w:tc>
          <w:tcPr>
            <w:tcW w:type="dxa" w:w="20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bCs/>
                <w:color w:val="1B2A4A"/>
                <w:sz w:val="20"/>
                <w:szCs w:val="20"/>
              </w:rPr>
              <w:t xml:space="preserve">Date Table</w:t>
            </w:r>
          </w:p>
        </w:tc>
        <w:tc>
          <w:tcPr>
            <w:tcW w:type="dxa" w:w="16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color w:val="1A7A6E"/>
                <w:sz w:val="19"/>
                <w:szCs w:val="19"/>
              </w:rPr>
              <w:t xml:space="preserve">Power Query (M)</w:t>
            </w:r>
          </w:p>
        </w:tc>
        <w:tc>
          <w:tcPr>
            <w:tcW w:type="dxa" w:w="2360"/>
            <w:tcBorders>
              <w:top w:val="single" w:color="D0D5E0" w:sz="1"/>
              <w:left w:val="single" w:color="D0D5E0" w:sz="1"/>
              <w:bottom w:val="single" w:color="D0D5E0" w:sz="1"/>
              <w:right w:val="single" w:color="D0D5E0" w:sz="1"/>
            </w:tcBorders>
            <w:shd w:fill="EBF0F8" w:val="clear"/>
            <w:tcMar>
              <w:top w:type="dxa" w:w="90"/>
              <w:left w:type="dxa" w:w="140"/>
              <w:bottom w:type="dxa" w:w="90"/>
              <w:right w:type="dxa" w:w="140"/>
            </w:tcMar>
          </w:tcPr>
          <w:p>
            <w:r>
              <w:rPr>
                <w:rFonts w:ascii="Courier New" w:cs="Courier New" w:eastAsia="Courier New" w:hAnsi="Courier New"/>
                <w:color w:val="1A3A6E"/>
                <w:sz w:val="18"/>
                <w:szCs w:val="18"/>
              </w:rPr>
              <w:t xml:space="preserve">Generated in Power Query</w:t>
            </w:r>
          </w:p>
        </w:tc>
        <w:tc>
          <w:tcPr>
            <w:tcW w:type="dxa" w:w="34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color w:val="4A5568"/>
                <w:sz w:val="19"/>
                <w:szCs w:val="19"/>
              </w:rPr>
              <w:t xml:space="preserve">Custom date dimension — Year, Quarter, Month, Day</w:t>
            </w:r>
          </w:p>
        </w:tc>
      </w:tr>
    </w:tbl>
    <w:p>
      <w:pPr>
        <w:spacing w:before="0" w:after="240"/>
      </w:pPr>
    </w:p>
    <w:p>
      <w:pPr>
        <w:spacing w:before="300" w:after="120"/>
      </w:pPr>
      <w:r>
        <w:rPr>
          <w:rFonts w:ascii="Arial" w:cs="Arial" w:eastAsia="Arial" w:hAnsi="Arial"/>
          <w:b/>
          <w:bCs/>
          <w:color w:val="1B2A4A"/>
          <w:sz w:val="26"/>
          <w:szCs w:val="26"/>
        </w:rPr>
        <w:t xml:space="preserve">3.2  Excel Workbook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02A" w:sz="6"/>
              <w:left w:val="single" w:color="D0D5E0" w:sz="1"/>
              <w:bottom w:val="single" w:color="D0D5E0" w:sz="1"/>
              <w:right w:val="single" w:color="D0D5E0" w:sz="1"/>
            </w:tcBorders>
            <w:shd w:fill="FDF6E8" w:val="clear"/>
            <w:tcMar>
              <w:top w:type="dxa" w:w="160"/>
              <w:left w:type="dxa" w:w="220"/>
              <w:bottom w:type="dxa" w:w="160"/>
              <w:right w:type="dxa" w:w="220"/>
            </w:tcMar>
          </w:tcPr>
          <w:p>
            <w:pPr>
              <w:spacing w:before="0" w:after="80"/>
            </w:pPr>
            <w:r>
              <w:rPr>
                <w:rFonts w:ascii="Arial" w:cs="Arial" w:eastAsia="Arial" w:hAnsi="Arial"/>
                <w:b/>
                <w:bCs/>
                <w:color w:val="C8902A"/>
                <w:sz w:val="21"/>
                <w:szCs w:val="21"/>
              </w:rPr>
              <w:t xml:space="preserve">Connector</w:t>
            </w:r>
          </w:p>
          <w:p>
            <w:pPr>
              <w:spacing w:before="0" w:after="0"/>
            </w:pPr>
            <w:r>
              <w:rPr>
                <w:rFonts w:ascii="Arial" w:cs="Arial" w:eastAsia="Arial" w:hAnsi="Arial"/>
                <w:color w:val="4A5568"/>
                <w:sz w:val="20"/>
                <w:szCs w:val="20"/>
              </w:rPr>
              <w:t xml:space="preserve">Excel Workbook  |  Power BI Get Data → Excel</w:t>
            </w:r>
          </w:p>
        </w:tc>
      </w:tr>
    </w:tbl>
    <w:p>
      <w:pPr>
        <w:spacing w:before="0" w:after="120"/>
      </w:pPr>
    </w:p>
    <w:p>
      <w:pPr>
        <w:spacing w:before="0" w:after="100"/>
        <w:jc w:val="both"/>
      </w:pPr>
      <w:r>
        <w:rPr>
          <w:rFonts w:ascii="Arial" w:cs="Arial" w:eastAsia="Arial" w:hAnsi="Arial"/>
          <w:color w:val="4A5568"/>
          <w:sz w:val="21"/>
          <w:szCs w:val="21"/>
        </w:rPr>
        <w:t xml:space="preserve">All five source files are loaded using the Excel Workbook connector. Each file maps to one table in the star schema. The connector supports both .xlsx and .xls formats.</w:t>
      </w:r>
    </w:p>
    <w:p>
      <w:pPr>
        <w:spacing w:before="200" w:after="80"/>
      </w:pPr>
      <w:r>
        <w:rPr>
          <w:rFonts w:ascii="Arial" w:cs="Arial" w:eastAsia="Arial" w:hAnsi="Arial"/>
          <w:b/>
          <w:bCs/>
          <w:color w:val="1A7A6E"/>
          <w:sz w:val="22"/>
          <w:szCs w:val="22"/>
        </w:rPr>
        <w:t xml:space="preserve">Connection Steps</w:t>
      </w:r>
    </w:p>
    <w:p>
      <w:pPr>
        <w:pStyle w:val="ListParagraph"/>
        <w:numPr>
          <w:ilvl w:val="0"/>
          <w:numId w:val="2"/>
        </w:numPr>
        <w:spacing w:before="40" w:after="60"/>
      </w:pPr>
      <w:r>
        <w:rPr>
          <w:rFonts w:ascii="Arial" w:cs="Arial" w:eastAsia="Arial" w:hAnsi="Arial"/>
          <w:color w:val="4A5568"/>
          <w:sz w:val="21"/>
          <w:szCs w:val="21"/>
        </w:rPr>
        <w:t xml:space="preserve">Open Power BI Desktop → Home → Get Data → Excel Workbook.</w:t>
      </w:r>
    </w:p>
    <w:p>
      <w:pPr>
        <w:pStyle w:val="ListParagraph"/>
        <w:numPr>
          <w:ilvl w:val="0"/>
          <w:numId w:val="2"/>
        </w:numPr>
        <w:spacing w:before="40" w:after="60"/>
      </w:pPr>
      <w:r>
        <w:rPr>
          <w:rFonts w:ascii="Arial" w:cs="Arial" w:eastAsia="Arial" w:hAnsi="Arial"/>
          <w:color w:val="4A5568"/>
          <w:sz w:val="21"/>
          <w:szCs w:val="21"/>
        </w:rPr>
        <w:t xml:space="preserve">Browse to and select the source file (e.g., Sales Agent.xlsx).</w:t>
      </w:r>
    </w:p>
    <w:p>
      <w:pPr>
        <w:pStyle w:val="ListParagraph"/>
        <w:numPr>
          <w:ilvl w:val="0"/>
          <w:numId w:val="2"/>
        </w:numPr>
        <w:spacing w:before="40" w:after="60"/>
      </w:pPr>
      <w:r>
        <w:rPr>
          <w:rFonts w:ascii="Arial" w:cs="Arial" w:eastAsia="Arial" w:hAnsi="Arial"/>
          <w:color w:val="4A5568"/>
          <w:sz w:val="21"/>
          <w:szCs w:val="21"/>
        </w:rPr>
        <w:t xml:space="preserve">In the Navigator pane, select the correct sheet or table.</w:t>
      </w:r>
    </w:p>
    <w:p>
      <w:pPr>
        <w:pStyle w:val="ListParagraph"/>
        <w:numPr>
          <w:ilvl w:val="0"/>
          <w:numId w:val="2"/>
        </w:numPr>
        <w:spacing w:before="40" w:after="60"/>
      </w:pPr>
      <w:r>
        <w:rPr>
          <w:rFonts w:ascii="Arial" w:cs="Arial" w:eastAsia="Arial" w:hAnsi="Arial"/>
          <w:color w:val="4A5568"/>
          <w:sz w:val="21"/>
          <w:szCs w:val="21"/>
        </w:rPr>
        <w:t xml:space="preserve">Click Transform Data to open Power Query for cleaning before loading.</w:t>
      </w:r>
    </w:p>
    <w:p>
      <w:pPr>
        <w:pStyle w:val="ListParagraph"/>
        <w:numPr>
          <w:ilvl w:val="0"/>
          <w:numId w:val="2"/>
        </w:numPr>
        <w:spacing w:before="40" w:after="60"/>
      </w:pPr>
      <w:r>
        <w:rPr>
          <w:rFonts w:ascii="Arial" w:cs="Arial" w:eastAsia="Arial" w:hAnsi="Arial"/>
          <w:color w:val="4A5568"/>
          <w:sz w:val="21"/>
          <w:szCs w:val="21"/>
        </w:rPr>
        <w:t xml:space="preserve">Repeat for each of the five Excel source files.</w:t>
      </w:r>
    </w:p>
    <w:p>
      <w:pPr>
        <w:spacing w:before="0" w:after="200"/>
      </w:pPr>
    </w:p>
    <w:p>
      <w:pPr>
        <w:spacing w:before="300" w:after="120"/>
      </w:pPr>
      <w:r>
        <w:rPr>
          <w:rFonts w:ascii="Arial" w:cs="Arial" w:eastAsia="Arial" w:hAnsi="Arial"/>
          <w:b/>
          <w:bCs/>
          <w:color w:val="1B2A4A"/>
          <w:sz w:val="26"/>
          <w:szCs w:val="26"/>
        </w:rPr>
        <w:t xml:space="preserve">3.3  Custom Date Table (Power Query — M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EAA" w:sz="6"/>
              <w:left w:val="single" w:color="D0D5E0" w:sz="1"/>
              <w:bottom w:val="single" w:color="D0D5E0" w:sz="1"/>
              <w:right w:val="single" w:color="D0D5E0" w:sz="1"/>
            </w:tcBorders>
            <w:shd w:fill="EEF3FB" w:val="clear"/>
            <w:tcMar>
              <w:top w:type="dxa" w:w="160"/>
              <w:left w:type="dxa" w:w="220"/>
              <w:bottom w:type="dxa" w:w="160"/>
              <w:right w:type="dxa" w:w="220"/>
            </w:tcMar>
          </w:tcPr>
          <w:p>
            <w:pPr>
              <w:spacing w:before="0" w:after="80"/>
            </w:pPr>
            <w:r>
              <w:rPr>
                <w:rFonts w:ascii="Arial" w:cs="Arial" w:eastAsia="Arial" w:hAnsi="Arial"/>
                <w:b/>
                <w:bCs/>
                <w:color w:val="1F5EAA"/>
                <w:sz w:val="21"/>
                <w:szCs w:val="21"/>
              </w:rPr>
              <w:t xml:space="preserve">Connector</w:t>
            </w:r>
          </w:p>
          <w:p>
            <w:pPr>
              <w:spacing w:before="0" w:after="0"/>
            </w:pPr>
            <w:r>
              <w:rPr>
                <w:rFonts w:ascii="Arial" w:cs="Arial" w:eastAsia="Arial" w:hAnsi="Arial"/>
                <w:color w:val="4A5568"/>
                <w:sz w:val="20"/>
                <w:szCs w:val="20"/>
              </w:rPr>
              <w:t xml:space="preserve">Generated internally in Power Query using M language — no external file required.</w:t>
            </w:r>
          </w:p>
        </w:tc>
      </w:tr>
    </w:tbl>
    <w:p>
      <w:pPr>
        <w:spacing w:before="0" w:after="120"/>
      </w:pPr>
    </w:p>
    <w:p>
      <w:pPr>
        <w:spacing w:before="0" w:after="100"/>
        <w:jc w:val="both"/>
      </w:pPr>
      <w:r>
        <w:rPr>
          <w:rFonts w:ascii="Arial" w:cs="Arial" w:eastAsia="Arial" w:hAnsi="Arial"/>
          <w:color w:val="4A5568"/>
          <w:sz w:val="21"/>
          <w:szCs w:val="21"/>
        </w:rPr>
        <w:t xml:space="preserve">A custom Date table was built in Power Query to support all time intelligence DAX functions (SAMEPERIODLASTYEAR, TOTALYTD, etc.). It covers the full sales date range (2022–2024) and includes the following columns: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Type</w:t>
            </w:r>
          </w:p>
        </w:tc>
        <w:tc>
          <w:tcPr>
            <w:tcW w:type="dxa" w:w="4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4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Date</w:t>
            </w:r>
          </w:p>
        </w:tc>
        <w:tc>
          <w:tcPr>
            <w:tcW w:type="dxa" w:w="20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Date</w:t>
            </w:r>
          </w:p>
        </w:tc>
        <w:tc>
          <w:tcPr>
            <w:tcW w:type="dxa" w:w="49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Full date value — primary key for the Date table</w:t>
            </w:r>
          </w:p>
        </w:tc>
      </w:tr>
      <w:tr>
        <w:tc>
          <w:tcPr>
            <w:tcW w:type="dxa" w:w="24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Year</w:t>
            </w:r>
          </w:p>
        </w:tc>
        <w:tc>
          <w:tcPr>
            <w:tcW w:type="dxa" w:w="20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Integer</w:t>
            </w:r>
          </w:p>
        </w:tc>
        <w:tc>
          <w:tcPr>
            <w:tcW w:type="dxa" w:w="49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Calendar year extracted from Date</w:t>
            </w:r>
          </w:p>
        </w:tc>
      </w:tr>
      <w:tr>
        <w:tc>
          <w:tcPr>
            <w:tcW w:type="dxa" w:w="24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Quarter</w:t>
            </w:r>
          </w:p>
        </w:tc>
        <w:tc>
          <w:tcPr>
            <w:tcW w:type="dxa" w:w="20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Text</w:t>
            </w:r>
          </w:p>
        </w:tc>
        <w:tc>
          <w:tcPr>
            <w:tcW w:type="dxa" w:w="49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Quarter label (Q1, Q2, Q3, Q4) for grouping</w:t>
            </w:r>
          </w:p>
        </w:tc>
      </w:tr>
      <w:tr>
        <w:tc>
          <w:tcPr>
            <w:tcW w:type="dxa" w:w="24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Month</w:t>
            </w:r>
          </w:p>
        </w:tc>
        <w:tc>
          <w:tcPr>
            <w:tcW w:type="dxa" w:w="20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Integer</w:t>
            </w:r>
          </w:p>
        </w:tc>
        <w:tc>
          <w:tcPr>
            <w:tcW w:type="dxa" w:w="49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Month number (1-12) for sorting visuals correctly</w:t>
            </w:r>
          </w:p>
        </w:tc>
      </w:tr>
      <w:tr>
        <w:tc>
          <w:tcPr>
            <w:tcW w:type="dxa" w:w="24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Month Name</w:t>
            </w:r>
          </w:p>
        </w:tc>
        <w:tc>
          <w:tcPr>
            <w:tcW w:type="dxa" w:w="20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Text</w:t>
            </w:r>
          </w:p>
        </w:tc>
        <w:tc>
          <w:tcPr>
            <w:tcW w:type="dxa" w:w="49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Full month name (January … December)</w:t>
            </w:r>
          </w:p>
        </w:tc>
      </w:tr>
      <w:tr>
        <w:tc>
          <w:tcPr>
            <w:tcW w:type="dxa" w:w="24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Day</w:t>
            </w:r>
          </w:p>
        </w:tc>
        <w:tc>
          <w:tcPr>
            <w:tcW w:type="dxa" w:w="20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Integer</w:t>
            </w:r>
          </w:p>
        </w:tc>
        <w:tc>
          <w:tcPr>
            <w:tcW w:type="dxa" w:w="49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Day of the month</w:t>
            </w:r>
          </w:p>
        </w:tc>
      </w:tr>
      <w:tr>
        <w:tc>
          <w:tcPr>
            <w:tcW w:type="dxa" w:w="24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Week No</w:t>
            </w:r>
          </w:p>
        </w:tc>
        <w:tc>
          <w:tcPr>
            <w:tcW w:type="dxa" w:w="20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Integer</w:t>
            </w:r>
          </w:p>
        </w:tc>
        <w:tc>
          <w:tcPr>
            <w:tcW w:type="dxa" w:w="49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ISO week number for weekly trend analysis</w:t>
            </w:r>
          </w:p>
        </w:tc>
      </w:tr>
    </w:tbl>
    <w:p>
      <w:pPr>
        <w:spacing w:before="0" w:after="120"/>
      </w:pPr>
    </w:p>
    <w:p>
      <w:pPr>
        <w:spacing w:before="0" w:after="100"/>
        <w:jc w:val="both"/>
      </w:pPr>
      <w:r>
        <w:rPr>
          <w:rFonts w:ascii="Arial" w:cs="Arial" w:eastAsia="Arial" w:hAnsi="Arial"/>
          <w:color w:val="4A5568"/>
          <w:sz w:val="21"/>
          <w:szCs w:val="21"/>
        </w:rPr>
        <w:t xml:space="preserve">After creation, the Date table is marked as a Date Table in Power BI (Table Tools → Mark as Date Table) and connected to the Sales Agent fact table via the SaleDate column.</w:t>
      </w:r>
    </w:p>
    <w:p>
      <w:pPr>
        <w:spacing w:before="0" w:after="240"/>
      </w:pPr>
    </w:p>
    <w:p>
      <w:pPr>
        <w:spacing w:before="300" w:after="120"/>
      </w:pPr>
      <w:r>
        <w:rPr>
          <w:rFonts w:ascii="Arial" w:cs="Arial" w:eastAsia="Arial" w:hAnsi="Arial"/>
          <w:b/>
          <w:bCs/>
          <w:color w:val="1B2A4A"/>
          <w:sz w:val="26"/>
          <w:szCs w:val="26"/>
        </w:rPr>
        <w:t xml:space="preserve">3.4  Power Query Transformations Applied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Transformation</w:t>
            </w:r>
          </w:p>
        </w:tc>
        <w:tc>
          <w:tcPr>
            <w:tcW w:type="dxa" w:w="6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4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Remove Duplicates</w:t>
            </w:r>
          </w:p>
        </w:tc>
        <w:tc>
          <w:tcPr>
            <w:tcW w:type="dxa" w:w="69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Applied on SaleID and InventoryID to ensure row-level uniqueness</w:t>
            </w:r>
          </w:p>
        </w:tc>
      </w:tr>
      <w:tr>
        <w:tc>
          <w:tcPr>
            <w:tcW w:type="dxa" w:w="24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Filter Nulls</w:t>
            </w:r>
          </w:p>
        </w:tc>
        <w:tc>
          <w:tcPr>
            <w:tcW w:type="dxa" w:w="69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Rows with null DrugID, SaleDate, or UnitsSold were removed</w:t>
            </w:r>
          </w:p>
        </w:tc>
      </w:tr>
      <w:tr>
        <w:tc>
          <w:tcPr>
            <w:tcW w:type="dxa" w:w="24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Data Types</w:t>
            </w:r>
          </w:p>
        </w:tc>
        <w:tc>
          <w:tcPr>
            <w:tcW w:type="dxa" w:w="69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Dates set to Date type; sales amounts to Decimal; IDs to Text</w:t>
            </w:r>
          </w:p>
        </w:tc>
      </w:tr>
      <w:tr>
        <w:tc>
          <w:tcPr>
            <w:tcW w:type="dxa" w:w="24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Merge Queries</w:t>
            </w:r>
          </w:p>
        </w:tc>
        <w:tc>
          <w:tcPr>
            <w:tcW w:type="dxa" w:w="69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Product info merged into Sales table via DrugID for denormalized analysis</w:t>
            </w:r>
          </w:p>
        </w:tc>
      </w:tr>
      <w:tr>
        <w:tc>
          <w:tcPr>
            <w:tcW w:type="dxa" w:w="24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Column Rename</w:t>
            </w:r>
          </w:p>
        </w:tc>
        <w:tc>
          <w:tcPr>
            <w:tcW w:type="dxa" w:w="69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Raw column names standardised to PascalCase across all tables</w:t>
            </w:r>
          </w:p>
        </w:tc>
      </w:tr>
      <w:tr>
        <w:tc>
          <w:tcPr>
            <w:tcW w:type="dxa" w:w="24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Custom Date Table</w:t>
            </w:r>
          </w:p>
        </w:tc>
        <w:tc>
          <w:tcPr>
            <w:tcW w:type="dxa" w:w="69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Date dimension generated using List.Dates() with Year/Quarter/Month columns</w:t>
            </w:r>
          </w:p>
        </w:tc>
      </w:tr>
      <w:tr>
        <w:tc>
          <w:tcPr>
            <w:tcW w:type="dxa" w:w="24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Replace Errors</w:t>
            </w:r>
          </w:p>
        </w:tc>
        <w:tc>
          <w:tcPr>
            <w:tcW w:type="dxa" w:w="69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Error values in numeric columns replaced with 0 to prevent measure failures</w:t>
            </w:r>
          </w:p>
        </w:tc>
      </w:tr>
    </w:tbl>
    <w:p>
      <w:pPr>
        <w:spacing w:before="0" w:after="280"/>
      </w:pPr>
    </w:p>
    <w:p>
      <w:pPr>
        <w:pBdr>
          <w:bottom w:val="single" w:color="C8902A" w:sz="4" w:space="4"/>
        </w:pBdr>
        <w:spacing w:before="500" w:after="160"/>
      </w:pPr>
      <w:r>
        <w:rPr>
          <w:rFonts w:ascii="Arial" w:cs="Arial" w:eastAsia="Arial" w:hAnsi="Arial"/>
          <w:b/>
          <w:bCs/>
          <w:color w:val="1B2A4A"/>
          <w:sz w:val="36"/>
          <w:szCs w:val="36"/>
        </w:rPr>
        <w:t xml:space="preserve">4.  Data Model Relationships</w:t>
      </w:r>
    </w:p>
    <w:p>
      <w:pPr>
        <w:spacing w:before="0" w:after="80"/>
      </w:pPr>
    </w:p>
    <w:p>
      <w:pPr>
        <w:spacing w:before="0" w:after="100"/>
        <w:jc w:val="both"/>
      </w:pPr>
      <w:r>
        <w:rPr>
          <w:rFonts w:ascii="Arial" w:cs="Arial" w:eastAsia="Arial" w:hAnsi="Arial"/>
          <w:color w:val="4A5568"/>
          <w:sz w:val="21"/>
          <w:szCs w:val="21"/>
        </w:rPr>
        <w:t xml:space="preserve">All six tables are connected in a star schema. The Fact table (Sales Agent) sits at the centre, with five dimension tables linked via foreign keys. All relationships are one-to-many with a single cross-filter direction.</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360"/>
        <w:gridCol w:w="2400"/>
      </w:tblGrid>
      <w:tr>
        <w:trPr>
          <w:tblHeader/>
        </w:trPr>
        <w:tc>
          <w:tcPr>
            <w:tcW w:type="dxa" w:w="3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From (Dimension)</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Column</w:t>
            </w:r>
          </w:p>
        </w:tc>
        <w:tc>
          <w:tcPr>
            <w:tcW w:type="dxa" w:w="2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To (Fact / Dim)</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30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LinkedDrugs</w:t>
            </w:r>
          </w:p>
        </w:tc>
        <w:tc>
          <w:tcPr>
            <w:tcW w:type="dxa" w:w="16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DrugID</w:t>
            </w:r>
          </w:p>
        </w:tc>
        <w:tc>
          <w:tcPr>
            <w:tcW w:type="dxa" w:w="23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Sales Agent</w:t>
            </w:r>
          </w:p>
        </w:tc>
        <w:tc>
          <w:tcPr>
            <w:tcW w:type="dxa" w:w="24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1 → Many</w:t>
            </w:r>
          </w:p>
        </w:tc>
      </w:tr>
      <w:tr>
        <w:tc>
          <w:tcPr>
            <w:tcW w:type="dxa" w:w="30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LinkedManufacturers</w:t>
            </w:r>
          </w:p>
        </w:tc>
        <w:tc>
          <w:tcPr>
            <w:tcW w:type="dxa" w:w="16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ManufacturerID</w:t>
            </w:r>
          </w:p>
        </w:tc>
        <w:tc>
          <w:tcPr>
            <w:tcW w:type="dxa" w:w="23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LinkedDrugs</w:t>
            </w:r>
          </w:p>
        </w:tc>
        <w:tc>
          <w:tcPr>
            <w:tcW w:type="dxa" w:w="24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1 → Many</w:t>
            </w:r>
          </w:p>
        </w:tc>
      </w:tr>
      <w:tr>
        <w:tc>
          <w:tcPr>
            <w:tcW w:type="dxa" w:w="30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Inventory</w:t>
            </w:r>
          </w:p>
        </w:tc>
        <w:tc>
          <w:tcPr>
            <w:tcW w:type="dxa" w:w="16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DrugID</w:t>
            </w:r>
          </w:p>
        </w:tc>
        <w:tc>
          <w:tcPr>
            <w:tcW w:type="dxa" w:w="23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LinkedDrugs</w:t>
            </w:r>
          </w:p>
        </w:tc>
        <w:tc>
          <w:tcPr>
            <w:tcW w:type="dxa" w:w="24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Many → 1</w:t>
            </w:r>
          </w:p>
        </w:tc>
      </w:tr>
      <w:tr>
        <w:tc>
          <w:tcPr>
            <w:tcW w:type="dxa" w:w="30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Supplier</w:t>
            </w:r>
          </w:p>
        </w:tc>
        <w:tc>
          <w:tcPr>
            <w:tcW w:type="dxa" w:w="16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SupplierID</w:t>
            </w:r>
          </w:p>
        </w:tc>
        <w:tc>
          <w:tcPr>
            <w:tcW w:type="dxa" w:w="23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Inventory</w:t>
            </w:r>
          </w:p>
        </w:tc>
        <w:tc>
          <w:tcPr>
            <w:tcW w:type="dxa" w:w="24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1 → Many</w:t>
            </w:r>
          </w:p>
        </w:tc>
      </w:tr>
      <w:tr>
        <w:tc>
          <w:tcPr>
            <w:tcW w:type="dxa" w:w="30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Date Table</w:t>
            </w:r>
          </w:p>
        </w:tc>
        <w:tc>
          <w:tcPr>
            <w:tcW w:type="dxa" w:w="16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Date</w:t>
            </w:r>
          </w:p>
        </w:tc>
        <w:tc>
          <w:tcPr>
            <w:tcW w:type="dxa" w:w="23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Sales Agent.SaleDate</w:t>
            </w:r>
          </w:p>
        </w:tc>
        <w:tc>
          <w:tcPr>
            <w:tcW w:type="dxa" w:w="24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1 → Many</w:t>
            </w:r>
          </w:p>
        </w:tc>
      </w:tr>
    </w:tbl>
    <w:p>
      <w:pPr>
        <w:spacing w:before="0" w:after="280"/>
      </w:pPr>
    </w:p>
    <w:p>
      <w:pPr>
        <w:pBdr>
          <w:bottom w:val="single" w:color="C8902A" w:sz="4" w:space="4"/>
        </w:pBdr>
        <w:spacing w:before="500" w:after="160"/>
      </w:pPr>
      <w:r>
        <w:rPr>
          <w:rFonts w:ascii="Arial" w:cs="Arial" w:eastAsia="Arial" w:hAnsi="Arial"/>
          <w:b/>
          <w:bCs/>
          <w:color w:val="1B2A4A"/>
          <w:sz w:val="36"/>
          <w:szCs w:val="36"/>
        </w:rPr>
        <w:t xml:space="preserve">5.  Challenges &amp; DAX Solutions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Challenge</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Solution Applied</w:t>
            </w:r>
          </w:p>
        </w:tc>
      </w:tr>
      <w:tr>
        <w:tc>
          <w:tcPr>
            <w:tcW w:type="dxa" w:w="36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Incorrect totals in Matrix visuals</w:t>
            </w:r>
          </w:p>
        </w:tc>
        <w:tc>
          <w:tcPr>
            <w:tcW w:type="dxa" w:w="57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Replaced SUM-based approach with SUMX to evaluate profit row by row before aggregating, eliminating double-counting in matrix context.</w:t>
            </w:r>
          </w:p>
        </w:tc>
      </w:tr>
      <w:tr>
        <w:tc>
          <w:tcPr>
            <w:tcW w:type="dxa" w:w="36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Return handling skewing revenue figures</w:t>
            </w:r>
          </w:p>
        </w:tc>
        <w:tc>
          <w:tcPr>
            <w:tcW w:type="dxa" w:w="57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Built Net Sales measure subtracting (Returned Units × Average Unit Price) from Total Sales, ensuring accurate net revenue reporting.</w:t>
            </w:r>
          </w:p>
        </w:tc>
      </w:tr>
      <w:tr>
        <w:tc>
          <w:tcPr>
            <w:tcW w:type="dxa" w:w="36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No expiry tracking mechanism</w:t>
            </w:r>
          </w:p>
        </w:tc>
        <w:tc>
          <w:tcPr>
            <w:tcW w:type="dxa" w:w="57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Implemented DATEDIFF(TODAY(), ExpiryDate, MONTH) with conditional IF logic to flag drugs as Critical (&lt;12 months), Warning (&lt;18 months), or Safe.</w:t>
            </w:r>
          </w:p>
        </w:tc>
      </w:tr>
      <w:tr>
        <w:tc>
          <w:tcPr>
            <w:tcW w:type="dxa" w:w="36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Complex YoY comparisons</w:t>
            </w:r>
          </w:p>
        </w:tc>
        <w:tc>
          <w:tcPr>
            <w:tcW w:type="dxa" w:w="57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Created a custom Date table and used SAMEPERIODLASTYEAR inside CALCULATE to enable accurate prior-year comparisons across any selected period.</w:t>
            </w:r>
          </w:p>
        </w:tc>
      </w:tr>
      <w:tr>
        <w:tc>
          <w:tcPr>
            <w:tcW w:type="dxa" w:w="360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Divide-by-zero errors in % measures</w:t>
            </w:r>
          </w:p>
        </w:tc>
        <w:tc>
          <w:tcPr>
            <w:tcW w:type="dxa" w:w="5760"/>
            <w:tcBorders>
              <w:top w:val="single" w:color="D0D5E0" w:sz="1"/>
              <w:left w:val="single" w:color="D0D5E0" w:sz="1"/>
              <w:bottom w:val="single" w:color="D0D5E0" w:sz="1"/>
              <w:right w:val="single" w:color="D0D5E0" w:sz="1"/>
            </w:tcBorders>
            <w:shd w:fill="FFFFFF" w:val="clear"/>
            <w:tcMar>
              <w:top w:type="dxa" w:w="90"/>
              <w:left w:type="dxa" w:w="140"/>
              <w:bottom w:type="dxa" w:w="90"/>
              <w:right w:type="dxa" w:w="140"/>
            </w:tcMar>
          </w:tcPr>
          <w:p>
            <w:r>
              <w:rPr>
                <w:rFonts w:ascii="Arial" w:cs="Arial" w:eastAsia="Arial" w:hAnsi="Arial"/>
                <w:b w:val="false"/>
                <w:bCs w:val="false"/>
                <w:color w:val="4A5568"/>
                <w:sz w:val="20"/>
                <w:szCs w:val="20"/>
              </w:rPr>
              <w:t xml:space="preserve">Replaced all division operators (/) with the DIVIDE function, passing 0 as the alternate result to suppress blank or error values in visuals.</w:t>
            </w:r>
          </w:p>
        </w:tc>
      </w:tr>
      <w:tr>
        <w:tc>
          <w:tcPr>
            <w:tcW w:type="dxa" w:w="360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Courier New" w:cs="Courier New" w:eastAsia="Courier New" w:hAnsi="Courier New"/>
                <w:b/>
                <w:bCs/>
                <w:color w:val="1A3A6E"/>
                <w:sz w:val="20"/>
                <w:szCs w:val="20"/>
              </w:rPr>
              <w:t xml:space="preserve">Slow report performance</w:t>
            </w:r>
          </w:p>
        </w:tc>
        <w:tc>
          <w:tcPr>
            <w:tcW w:type="dxa" w:w="5760"/>
            <w:tcBorders>
              <w:top w:val="single" w:color="D0D5E0" w:sz="1"/>
              <w:left w:val="single" w:color="D0D5E0" w:sz="1"/>
              <w:bottom w:val="single" w:color="D0D5E0" w:sz="1"/>
              <w:right w:val="single" w:color="D0D5E0" w:sz="1"/>
            </w:tcBorders>
            <w:shd w:fill="F5F7FA" w:val="clear"/>
            <w:tcMar>
              <w:top w:type="dxa" w:w="90"/>
              <w:left w:type="dxa" w:w="140"/>
              <w:bottom w:type="dxa" w:w="90"/>
              <w:right w:type="dxa" w:w="140"/>
            </w:tcMar>
          </w:tcPr>
          <w:p>
            <w:r>
              <w:rPr>
                <w:rFonts w:ascii="Arial" w:cs="Arial" w:eastAsia="Arial" w:hAnsi="Arial"/>
                <w:b w:val="false"/>
                <w:bCs w:val="false"/>
                <w:color w:val="4A5568"/>
                <w:sz w:val="20"/>
                <w:szCs w:val="20"/>
              </w:rPr>
              <w:t xml:space="preserve">Optimised the model by creating summarisation tables, avoiding calculated columns where measures suffice, and reducing cardinality on key columns.</w:t>
            </w:r>
          </w:p>
        </w:tc>
      </w:tr>
    </w:tbl>
    <w:p>
      <w:pPr>
        <w:spacing w:before="0" w:after="280"/>
      </w:pPr>
    </w:p>
    <w:p>
      <w:pPr>
        <w:pBdr>
          <w:bottom w:val="single" w:color="C8902A" w:sz="4" w:space="4"/>
        </w:pBdr>
        <w:spacing w:before="500" w:after="160"/>
      </w:pPr>
      <w:r>
        <w:rPr>
          <w:rFonts w:ascii="Arial" w:cs="Arial" w:eastAsia="Arial" w:hAnsi="Arial"/>
          <w:b/>
          <w:bCs/>
          <w:color w:val="1B2A4A"/>
          <w:sz w:val="36"/>
          <w:szCs w:val="36"/>
        </w:rPr>
        <w:t xml:space="preserve">6.  Project Achievements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7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Achievement</w:t>
            </w:r>
          </w:p>
        </w:tc>
      </w:tr>
      <w:tr>
        <w:tc>
          <w:tcPr>
            <w:tcW w:type="dxa" w:w="1400"/>
            <w:tcBorders>
              <w:top w:val="single" w:color="D0D5E0" w:sz="1"/>
              <w:left w:val="single" w:color="D0D5E0" w:sz="1"/>
              <w:bottom w:val="single" w:color="D0D5E0" w:sz="1"/>
              <w:right w:val="single" w:color="D0D5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C8902A"/>
                <w:sz w:val="26"/>
                <w:szCs w:val="26"/>
              </w:rPr>
              <w:t xml:space="preserve">01</w:t>
            </w:r>
          </w:p>
        </w:tc>
        <w:tc>
          <w:tcPr>
            <w:tcW w:type="dxa" w:w="7960"/>
            <w:tcBorders>
              <w:top w:val="single" w:color="D0D5E0" w:sz="1"/>
              <w:left w:val="single" w:color="D0D5E0" w:sz="1"/>
              <w:bottom w:val="single" w:color="D0D5E0" w:sz="1"/>
              <w:right w:val="single" w:color="D0D5E0" w:sz="1"/>
            </w:tcBorders>
            <w:shd w:fill="F5F7FA" w:val="clear"/>
            <w:tcMar>
              <w:top w:type="dxa" w:w="120"/>
              <w:left w:type="dxa" w:w="180"/>
              <w:bottom w:type="dxa" w:w="120"/>
              <w:right w:type="dxa" w:w="140"/>
            </w:tcMar>
          </w:tcPr>
          <w:p>
            <w:r>
              <w:rPr>
                <w:rFonts w:ascii="Arial" w:cs="Arial" w:eastAsia="Arial" w:hAnsi="Arial"/>
                <w:color w:val="4A5568"/>
                <w:sz w:val="20"/>
                <w:szCs w:val="20"/>
              </w:rPr>
              <w:t xml:space="preserve">Reduced manual reporting time by 90% — from 5-8 hours per cycle to 10-15 minutes via automated Power BI refresh.</w:t>
            </w:r>
          </w:p>
        </w:tc>
      </w:tr>
      <w:tr>
        <w:tc>
          <w:tcPr>
            <w:tcW w:type="dxa" w:w="1400"/>
            <w:tcBorders>
              <w:top w:val="single" w:color="D0D5E0" w:sz="1"/>
              <w:left w:val="single" w:color="D0D5E0" w:sz="1"/>
              <w:bottom w:val="single" w:color="D0D5E0" w:sz="1"/>
              <w:right w:val="single" w:color="D0D5E0" w:sz="1"/>
            </w:tcBorders>
            <w:shd w:fill="253555" w:val="clear"/>
            <w:tcMar>
              <w:top w:type="dxa" w:w="120"/>
              <w:left w:type="dxa" w:w="140"/>
              <w:bottom w:type="dxa" w:w="120"/>
              <w:right w:type="dxa" w:w="140"/>
            </w:tcMar>
            <w:vAlign w:val="center"/>
          </w:tcPr>
          <w:p>
            <w:pPr>
              <w:jc w:val="center"/>
            </w:pPr>
            <w:r>
              <w:rPr>
                <w:rFonts w:ascii="Arial" w:cs="Arial" w:eastAsia="Arial" w:hAnsi="Arial"/>
                <w:b/>
                <w:bCs/>
                <w:color w:val="C8902A"/>
                <w:sz w:val="26"/>
                <w:szCs w:val="26"/>
              </w:rPr>
              <w:t xml:space="preserve">02</w:t>
            </w:r>
          </w:p>
        </w:tc>
        <w:tc>
          <w:tcPr>
            <w:tcW w:type="dxa" w:w="7960"/>
            <w:tcBorders>
              <w:top w:val="single" w:color="D0D5E0" w:sz="1"/>
              <w:left w:val="single" w:color="D0D5E0" w:sz="1"/>
              <w:bottom w:val="single" w:color="D0D5E0" w:sz="1"/>
              <w:right w:val="single" w:color="D0D5E0" w:sz="1"/>
            </w:tcBorders>
            <w:shd w:fill="FFFFFF" w:val="clear"/>
            <w:tcMar>
              <w:top w:type="dxa" w:w="120"/>
              <w:left w:type="dxa" w:w="180"/>
              <w:bottom w:type="dxa" w:w="120"/>
              <w:right w:type="dxa" w:w="140"/>
            </w:tcMar>
          </w:tcPr>
          <w:p>
            <w:r>
              <w:rPr>
                <w:rFonts w:ascii="Arial" w:cs="Arial" w:eastAsia="Arial" w:hAnsi="Arial"/>
                <w:color w:val="4A5568"/>
                <w:sz w:val="20"/>
                <w:szCs w:val="20"/>
              </w:rPr>
              <w:t xml:space="preserve">Provided real-time daily visibility into stock levels, leading to a 15% reduction in stockout incidents.</w:t>
            </w:r>
          </w:p>
        </w:tc>
      </w:tr>
      <w:tr>
        <w:tc>
          <w:tcPr>
            <w:tcW w:type="dxa" w:w="1400"/>
            <w:tcBorders>
              <w:top w:val="single" w:color="D0D5E0" w:sz="1"/>
              <w:left w:val="single" w:color="D0D5E0" w:sz="1"/>
              <w:bottom w:val="single" w:color="D0D5E0" w:sz="1"/>
              <w:right w:val="single" w:color="D0D5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C8902A"/>
                <w:sz w:val="26"/>
                <w:szCs w:val="26"/>
              </w:rPr>
              <w:t xml:space="preserve">03</w:t>
            </w:r>
          </w:p>
        </w:tc>
        <w:tc>
          <w:tcPr>
            <w:tcW w:type="dxa" w:w="7960"/>
            <w:tcBorders>
              <w:top w:val="single" w:color="D0D5E0" w:sz="1"/>
              <w:left w:val="single" w:color="D0D5E0" w:sz="1"/>
              <w:bottom w:val="single" w:color="D0D5E0" w:sz="1"/>
              <w:right w:val="single" w:color="D0D5E0" w:sz="1"/>
            </w:tcBorders>
            <w:shd w:fill="F5F7FA" w:val="clear"/>
            <w:tcMar>
              <w:top w:type="dxa" w:w="120"/>
              <w:left w:type="dxa" w:w="180"/>
              <w:bottom w:type="dxa" w:w="120"/>
              <w:right w:type="dxa" w:w="140"/>
            </w:tcMar>
          </w:tcPr>
          <w:p>
            <w:r>
              <w:rPr>
                <w:rFonts w:ascii="Arial" w:cs="Arial" w:eastAsia="Arial" w:hAnsi="Arial"/>
                <w:color w:val="4A5568"/>
                <w:sz w:val="20"/>
                <w:szCs w:val="20"/>
              </w:rPr>
              <w:t xml:space="preserve">Identified $418K worth of expiring stock for proactive clearance, directly improving revenue recovery.</w:t>
            </w:r>
          </w:p>
        </w:tc>
      </w:tr>
      <w:tr>
        <w:tc>
          <w:tcPr>
            <w:tcW w:type="dxa" w:w="1400"/>
            <w:tcBorders>
              <w:top w:val="single" w:color="D0D5E0" w:sz="1"/>
              <w:left w:val="single" w:color="D0D5E0" w:sz="1"/>
              <w:bottom w:val="single" w:color="D0D5E0" w:sz="1"/>
              <w:right w:val="single" w:color="D0D5E0" w:sz="1"/>
            </w:tcBorders>
            <w:shd w:fill="253555" w:val="clear"/>
            <w:tcMar>
              <w:top w:type="dxa" w:w="120"/>
              <w:left w:type="dxa" w:w="140"/>
              <w:bottom w:type="dxa" w:w="120"/>
              <w:right w:type="dxa" w:w="140"/>
            </w:tcMar>
            <w:vAlign w:val="center"/>
          </w:tcPr>
          <w:p>
            <w:pPr>
              <w:jc w:val="center"/>
            </w:pPr>
            <w:r>
              <w:rPr>
                <w:rFonts w:ascii="Arial" w:cs="Arial" w:eastAsia="Arial" w:hAnsi="Arial"/>
                <w:b/>
                <w:bCs/>
                <w:color w:val="C8902A"/>
                <w:sz w:val="26"/>
                <w:szCs w:val="26"/>
              </w:rPr>
              <w:t xml:space="preserve">04</w:t>
            </w:r>
          </w:p>
        </w:tc>
        <w:tc>
          <w:tcPr>
            <w:tcW w:type="dxa" w:w="7960"/>
            <w:tcBorders>
              <w:top w:val="single" w:color="D0D5E0" w:sz="1"/>
              <w:left w:val="single" w:color="D0D5E0" w:sz="1"/>
              <w:bottom w:val="single" w:color="D0D5E0" w:sz="1"/>
              <w:right w:val="single" w:color="D0D5E0" w:sz="1"/>
            </w:tcBorders>
            <w:shd w:fill="FFFFFF" w:val="clear"/>
            <w:tcMar>
              <w:top w:type="dxa" w:w="120"/>
              <w:left w:type="dxa" w:w="180"/>
              <w:bottom w:type="dxa" w:w="120"/>
              <w:right w:type="dxa" w:w="140"/>
            </w:tcMar>
          </w:tcPr>
          <w:p>
            <w:r>
              <w:rPr>
                <w:rFonts w:ascii="Arial" w:cs="Arial" w:eastAsia="Arial" w:hAnsi="Arial"/>
                <w:color w:val="4A5568"/>
                <w:sz w:val="20"/>
                <w:szCs w:val="20"/>
              </w:rPr>
              <w:t xml:space="preserve">Enhanced supplier accountability by surfacing on-time delivery rates for all vendors in a dedicated scorecard.</w:t>
            </w:r>
          </w:p>
        </w:tc>
      </w:tr>
      <w:tr>
        <w:tc>
          <w:tcPr>
            <w:tcW w:type="dxa" w:w="1400"/>
            <w:tcBorders>
              <w:top w:val="single" w:color="D0D5E0" w:sz="1"/>
              <w:left w:val="single" w:color="D0D5E0" w:sz="1"/>
              <w:bottom w:val="single" w:color="D0D5E0" w:sz="1"/>
              <w:right w:val="single" w:color="D0D5E0"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C8902A"/>
                <w:sz w:val="26"/>
                <w:szCs w:val="26"/>
              </w:rPr>
              <w:t xml:space="preserve">05</w:t>
            </w:r>
          </w:p>
        </w:tc>
        <w:tc>
          <w:tcPr>
            <w:tcW w:type="dxa" w:w="7960"/>
            <w:tcBorders>
              <w:top w:val="single" w:color="D0D5E0" w:sz="1"/>
              <w:left w:val="single" w:color="D0D5E0" w:sz="1"/>
              <w:bottom w:val="single" w:color="D0D5E0" w:sz="1"/>
              <w:right w:val="single" w:color="D0D5E0" w:sz="1"/>
            </w:tcBorders>
            <w:shd w:fill="F5F7FA" w:val="clear"/>
            <w:tcMar>
              <w:top w:type="dxa" w:w="120"/>
              <w:left w:type="dxa" w:w="180"/>
              <w:bottom w:type="dxa" w:w="120"/>
              <w:right w:type="dxa" w:w="140"/>
            </w:tcMar>
          </w:tcPr>
          <w:p>
            <w:r>
              <w:rPr>
                <w:rFonts w:ascii="Arial" w:cs="Arial" w:eastAsia="Arial" w:hAnsi="Arial"/>
                <w:color w:val="4A5568"/>
                <w:sz w:val="20"/>
                <w:szCs w:val="20"/>
              </w:rPr>
              <w:t xml:space="preserve">Empowered sales managers with agent-level performance data, driving targeted coaching and improved productivity.</w:t>
            </w:r>
          </w:p>
        </w:tc>
      </w:tr>
      <w:tr>
        <w:tc>
          <w:tcPr>
            <w:tcW w:type="dxa" w:w="1400"/>
            <w:tcBorders>
              <w:top w:val="single" w:color="D0D5E0" w:sz="1"/>
              <w:left w:val="single" w:color="D0D5E0" w:sz="1"/>
              <w:bottom w:val="single" w:color="D0D5E0" w:sz="1"/>
              <w:right w:val="single" w:color="D0D5E0" w:sz="1"/>
            </w:tcBorders>
            <w:shd w:fill="253555" w:val="clear"/>
            <w:tcMar>
              <w:top w:type="dxa" w:w="120"/>
              <w:left w:type="dxa" w:w="140"/>
              <w:bottom w:type="dxa" w:w="120"/>
              <w:right w:type="dxa" w:w="140"/>
            </w:tcMar>
            <w:vAlign w:val="center"/>
          </w:tcPr>
          <w:p>
            <w:pPr>
              <w:jc w:val="center"/>
            </w:pPr>
            <w:r>
              <w:rPr>
                <w:rFonts w:ascii="Arial" w:cs="Arial" w:eastAsia="Arial" w:hAnsi="Arial"/>
                <w:b/>
                <w:bCs/>
                <w:color w:val="C8902A"/>
                <w:sz w:val="26"/>
                <w:szCs w:val="26"/>
              </w:rPr>
              <w:t xml:space="preserve">06</w:t>
            </w:r>
          </w:p>
        </w:tc>
        <w:tc>
          <w:tcPr>
            <w:tcW w:type="dxa" w:w="7960"/>
            <w:tcBorders>
              <w:top w:val="single" w:color="D0D5E0" w:sz="1"/>
              <w:left w:val="single" w:color="D0D5E0" w:sz="1"/>
              <w:bottom w:val="single" w:color="D0D5E0" w:sz="1"/>
              <w:right w:val="single" w:color="D0D5E0" w:sz="1"/>
            </w:tcBorders>
            <w:shd w:fill="FFFFFF" w:val="clear"/>
            <w:tcMar>
              <w:top w:type="dxa" w:w="120"/>
              <w:left w:type="dxa" w:w="180"/>
              <w:bottom w:type="dxa" w:w="120"/>
              <w:right w:type="dxa" w:w="140"/>
            </w:tcMar>
          </w:tcPr>
          <w:p>
            <w:r>
              <w:rPr>
                <w:rFonts w:ascii="Arial" w:cs="Arial" w:eastAsia="Arial" w:hAnsi="Arial"/>
                <w:color w:val="4A5568"/>
                <w:sz w:val="20"/>
                <w:szCs w:val="20"/>
              </w:rPr>
              <w:t xml:space="preserve">Delivered a scalable star schema model connecting 6 data sources with zero VLOOKUP dependency.</w:t>
            </w:r>
          </w:p>
        </w:tc>
      </w:tr>
    </w:tbl>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02A" w:sz="4"/>
              <w:left w:val="single" w:color="D0D5E0" w:sz="1"/>
              <w:bottom w:val="single" w:color="D0D5E0" w:sz="1"/>
              <w:right w:val="single" w:color="D0D5E0" w:sz="1"/>
            </w:tcBorders>
            <w:shd w:fill="F5F7FA" w:val="clear"/>
            <w:tcMar>
              <w:top w:type="dxa" w:w="200"/>
              <w:left w:type="dxa" w:w="280"/>
              <w:bottom w:type="dxa" w:w="200"/>
              <w:right w:type="dxa" w:w="280"/>
            </w:tcMar>
          </w:tcPr>
          <w:p>
            <w:pPr>
              <w:spacing w:before="0" w:after="100"/>
            </w:pPr>
            <w:r>
              <w:rPr>
                <w:rFonts w:ascii="Arial" w:cs="Arial" w:eastAsia="Arial" w:hAnsi="Arial"/>
                <w:b/>
                <w:bCs/>
                <w:color w:val="1B2A4A"/>
                <w:sz w:val="22"/>
                <w:szCs w:val="22"/>
              </w:rPr>
              <w:t xml:space="preserve">Document Information</w:t>
            </w:r>
          </w:p>
          <w:p>
            <w:r>
              <w:rPr>
                <w:rFonts w:ascii="Arial" w:cs="Arial" w:eastAsia="Arial" w:hAnsi="Arial"/>
                <w:b/>
                <w:bCs/>
                <w:color w:val="1B2A4A"/>
                <w:sz w:val="20"/>
                <w:szCs w:val="20"/>
              </w:rPr>
              <w:t xml:space="preserve">Client: </w:t>
            </w:r>
            <w:r>
              <w:rPr>
                <w:rFonts w:ascii="Arial" w:cs="Arial" w:eastAsia="Arial" w:hAnsi="Arial"/>
                <w:color w:val="4A5568"/>
                <w:sz w:val="20"/>
                <w:szCs w:val="20"/>
              </w:rPr>
              <w:t xml:space="preserve">Cipla Pharmaceutical     </w:t>
            </w:r>
            <w:r>
              <w:rPr>
                <w:rFonts w:ascii="Arial" w:cs="Arial" w:eastAsia="Arial" w:hAnsi="Arial"/>
                <w:b/>
                <w:bCs/>
                <w:color w:val="1B2A4A"/>
                <w:sz w:val="20"/>
                <w:szCs w:val="20"/>
              </w:rPr>
              <w:t xml:space="preserve">Role: </w:t>
            </w:r>
            <w:r>
              <w:rPr>
                <w:rFonts w:ascii="Arial" w:cs="Arial" w:eastAsia="Arial" w:hAnsi="Arial"/>
                <w:color w:val="4A5568"/>
                <w:sz w:val="20"/>
                <w:szCs w:val="20"/>
              </w:rPr>
              <w:t xml:space="preserve">BI Developer     </w:t>
            </w:r>
            <w:r>
              <w:rPr>
                <w:rFonts w:ascii="Arial" w:cs="Arial" w:eastAsia="Arial" w:hAnsi="Arial"/>
                <w:b/>
                <w:bCs/>
                <w:color w:val="1B2A4A"/>
                <w:sz w:val="20"/>
                <w:szCs w:val="20"/>
              </w:rPr>
              <w:t xml:space="preserve">Classification: </w:t>
            </w:r>
            <w:r>
              <w:rPr>
                <w:rFonts w:ascii="Arial" w:cs="Arial" w:eastAsia="Arial" w:hAnsi="Arial"/>
                <w:color w:val="4A5568"/>
                <w:sz w:val="20"/>
                <w:szCs w:val="20"/>
              </w:rPr>
              <w:t xml:space="preserve">Confidential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0" w:sz="2" w:space="1"/>
      </w:pBdr>
      <w:tabs>
        <w:tab w:val="right" w:pos="9026"/>
      </w:tabs>
      <w:spacing w:before="80"/>
    </w:pPr>
    <w:r>
      <w:rPr>
        <w:rFonts w:ascii="Arial" w:cs="Arial" w:eastAsia="Arial" w:hAnsi="Arial"/>
        <w:color w:val="7A849A"/>
        <w:sz w:val="16"/>
        <w:szCs w:val="16"/>
      </w:rPr>
      <w:t xml:space="preserve">Confidential  |  June 2025</w:t>
    </w:r>
    <w:r>
      <w:rPr>
        <w:rFonts w:ascii="Arial" w:cs="Arial" w:eastAsia="Arial" w:hAnsi="Arial"/>
        <w:color w:val="7A849A"/>
        <w:sz w:val="16"/>
        <w:szCs w:val="16"/>
      </w:rPr>
      <w:t xml:space="preserve">	Page </w:t>
    </w:r>
    <w:r>
      <w:rPr>
        <w:rFonts w:ascii="Arial" w:cs="Arial" w:eastAsia="Arial" w:hAnsi="Arial"/>
        <w:color w:val="7A849A"/>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single" w:color="C8902A" w:sz="2"/>
            <w:right w:val="none" w:color="FFFFFF" w:sz="0"/>
          </w:tcBorders>
          <w:tcMar>
            <w:top w:type="dxa" w:w="0"/>
            <w:left w:type="dxa" w:w="0"/>
            <w:bottom w:type="dxa" w:w="80"/>
            <w:right w:type="dxa" w:w="0"/>
          </w:tcMar>
        </w:tcPr>
        <w:p>
          <w:r>
            <w:rPr>
              <w:rFonts w:ascii="Arial" w:cs="Arial" w:eastAsia="Arial" w:hAnsi="Arial"/>
              <w:color w:val="7A849A"/>
              <w:sz w:val="16"/>
              <w:szCs w:val="16"/>
            </w:rPr>
            <w:t xml:space="preserve">PHARMA SALES DASHBOARD  |  DAX FUNCTIONS &amp; CONNECTORS</w:t>
          </w:r>
        </w:p>
      </w:tc>
      <w:tc>
        <w:tcPr>
          <w:tcW w:type="dxa" w:w="2880"/>
          <w:tcBorders>
            <w:top w:val="none" w:color="FFFFFF" w:sz="0"/>
            <w:left w:val="none" w:color="FFFFFF" w:sz="0"/>
            <w:bottom w:val="single" w:color="C8902A" w:sz="2"/>
            <w:right w:val="none" w:color="FFFFFF" w:sz="0"/>
          </w:tcBorders>
          <w:tcMar>
            <w:top w:type="dxa" w:w="0"/>
            <w:left w:type="dxa" w:w="0"/>
            <w:bottom w:type="dxa" w:w="80"/>
            <w:right w:type="dxa" w:w="0"/>
          </w:tcMar>
        </w:tcPr>
        <w:p>
          <w:pPr>
            <w:jc w:val="right"/>
          </w:pPr>
          <w:r>
            <w:rPr>
              <w:rFonts w:ascii="Arial" w:cs="Arial" w:eastAsia="Arial" w:hAnsi="Arial"/>
              <w:b/>
              <w:bCs/>
              <w:color w:val="C8902A"/>
              <w:sz w:val="16"/>
              <w:szCs w:val="16"/>
            </w:rPr>
            <w:t xml:space="preserve">Cipla Pharmaceutical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2026-03-12T15:07:27.305Z</dcterms:created>
  <dcterms:modified xsi:type="dcterms:W3CDTF">2026-03-12T15:07:27.305Z</dcterms:modified>
</cp:coreProperties>
</file>

<file path=docProps/custom.xml><?xml version="1.0" encoding="utf-8"?>
<Properties xmlns="http://schemas.openxmlformats.org/officeDocument/2006/custom-properties" xmlns:vt="http://schemas.openxmlformats.org/officeDocument/2006/docPropsVTypes"/>
</file>