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 w:space="4"/>
        </w:pBdr>
        <w:spacing w:before="0" w:after="200"/>
      </w:pPr>
      <w:r>
        <w:rPr>
          <w:rFonts w:ascii="Calibri" w:cs="Calibri" w:eastAsia="Calibri" w:hAnsi="Calibri"/>
          <w:b/>
          <w:bCs/>
          <w:color w:val="000000"/>
          <w:sz w:val="36"/>
          <w:szCs w:val="36"/>
        </w:rPr>
        <w:t xml:space="preserve">Project Achievements</w:t>
      </w:r>
    </w:p>
    <w:p>
      <w:pPr>
        <w:spacing w:before="160" w:after="400"/>
      </w:pPr>
      <w:r>
        <w:rPr>
          <w:rFonts w:ascii="Calibri" w:cs="Calibri" w:eastAsia="Calibri" w:hAnsi="Calibri"/>
          <w:color w:val="444444"/>
          <w:sz w:val="22"/>
          <w:szCs w:val="22"/>
        </w:rPr>
        <w:t xml:space="preserve">Pharma Sales Analytics Dashboard  |  Cipla Pharmaceutical</w:t>
      </w:r>
    </w:p>
    <w:p>
      <w:pPr>
        <w:spacing w:before="0" w:after="120"/>
      </w:pPr>
      <w:r>
        <w:rPr>
          <w:rFonts w:ascii="Calibri" w:cs="Calibri" w:eastAsia="Calibri" w:hAnsi="Calibri"/>
          <w:b/>
          <w:bCs/>
          <w:sz w:val="26"/>
          <w:szCs w:val="26"/>
        </w:rPr>
        <w:t xml:space="preserve">1.  Reduced Manual Reporting Time by 90%</w:t>
      </w:r>
    </w:p>
    <w:p>
      <w:pPr>
        <w:spacing w:before="0" w:after="320"/>
        <w:jc w:val="both"/>
      </w:pPr>
      <w:r>
        <w:rPr>
          <w:rFonts w:ascii="Calibri" w:cs="Calibri" w:eastAsia="Calibri" w:hAnsi="Calibri"/>
          <w:color w:val="333333"/>
          <w:sz w:val="22"/>
          <w:szCs w:val="22"/>
        </w:rPr>
        <w:t xml:space="preserve">Before Power BI, sales reports were generated manually using Excel, emails, and CSV files. Data from Sales, Inventory, Supplier, and Product Master had to be downloaded, cleaned, and merged manually using VLOOKUPs and Pivot Tables — taking 5 to 8 hours per report cycle. After automating the dashboard in Power BI with scheduled daily refresh, the same reports now take 10 to 15 minutes, reducing manual effort by 90%.</w:t>
      </w:r>
    </w:p>
    <w:p>
      <w:pPr>
        <w:spacing w:before="0" w:after="120"/>
      </w:pPr>
      <w:r>
        <w:rPr>
          <w:rFonts w:ascii="Calibri" w:cs="Calibri" w:eastAsia="Calibri" w:hAnsi="Calibri"/>
          <w:b/>
          <w:bCs/>
          <w:sz w:val="26"/>
          <w:szCs w:val="26"/>
        </w:rPr>
        <w:t xml:space="preserve">2.  15% Reduction in Stockouts</w:t>
      </w:r>
    </w:p>
    <w:p>
      <w:pPr>
        <w:spacing w:before="0" w:after="320"/>
        <w:jc w:val="both"/>
      </w:pPr>
      <w:r>
        <w:rPr>
          <w:rFonts w:ascii="Calibri" w:cs="Calibri" w:eastAsia="Calibri" w:hAnsi="Calibri"/>
          <w:color w:val="333333"/>
          <w:sz w:val="22"/>
          <w:szCs w:val="22"/>
        </w:rPr>
        <w:t xml:space="preserve">The Inventory Snapshot dashboard provided real-time visibility into stock levels across all drug categories and suppliers. By surfacing Stock Available (Total Stock minus Sold Stock and Returned Units) on a daily basis, supply chain managers were able to act on low-stock alerts proactively, resulting in a 15% reduction in stockout incidents.</w:t>
      </w:r>
    </w:p>
    <w:p>
      <w:pPr>
        <w:spacing w:before="0" w:after="120"/>
      </w:pPr>
      <w:r>
        <w:rPr>
          <w:rFonts w:ascii="Calibri" w:cs="Calibri" w:eastAsia="Calibri" w:hAnsi="Calibri"/>
          <w:b/>
          <w:bCs/>
          <w:sz w:val="26"/>
          <w:szCs w:val="26"/>
        </w:rPr>
        <w:t xml:space="preserve">3.  Identified $418K Worth of Expiring Stock</w:t>
      </w:r>
    </w:p>
    <w:p>
      <w:pPr>
        <w:spacing w:before="0" w:after="320"/>
        <w:jc w:val="both"/>
      </w:pPr>
      <w:r>
        <w:rPr>
          <w:rFonts w:ascii="Calibri" w:cs="Calibri" w:eastAsia="Calibri" w:hAnsi="Calibri"/>
          <w:color w:val="333333"/>
          <w:sz w:val="22"/>
          <w:szCs w:val="22"/>
        </w:rPr>
        <w:t xml:space="preserve">Using DATEDIFF-based DAX measures, the dashboard flagged drugs nearing expiry within 12, 18, and 24 months. This enabled the team to initiate timely clearance campaigns and redistribution, recovering $418,000 in revenue that would otherwise have been lost to expired and written-off stock.</w:t>
      </w:r>
    </w:p>
    <w:p>
      <w:pPr>
        <w:spacing w:before="0" w:after="120"/>
      </w:pPr>
      <w:r>
        <w:rPr>
          <w:rFonts w:ascii="Calibri" w:cs="Calibri" w:eastAsia="Calibri" w:hAnsi="Calibri"/>
          <w:b/>
          <w:bCs/>
          <w:sz w:val="26"/>
          <w:szCs w:val="26"/>
        </w:rPr>
        <w:t xml:space="preserve">4.  Enhanced Supplier Accountability</w:t>
      </w:r>
    </w:p>
    <w:p>
      <w:pPr>
        <w:spacing w:before="0" w:after="320"/>
        <w:jc w:val="both"/>
      </w:pPr>
      <w:r>
        <w:rPr>
          <w:rFonts w:ascii="Calibri" w:cs="Calibri" w:eastAsia="Calibri" w:hAnsi="Calibri"/>
          <w:color w:val="333333"/>
          <w:sz w:val="22"/>
          <w:szCs w:val="22"/>
        </w:rPr>
        <w:t xml:space="preserve">A dedicated Supplier Performance scorecard was built to surface on-time delivery rates for all vendors. Preferred and non-preferred suppliers were clearly distinguished, giving procurement teams an objective basis to review contracts, escalate underperformers, and reward high-performing vendors.</w:t>
      </w:r>
    </w:p>
    <w:p>
      <w:pPr>
        <w:spacing w:before="0" w:after="120"/>
      </w:pPr>
      <w:r>
        <w:rPr>
          <w:rFonts w:ascii="Calibri" w:cs="Calibri" w:eastAsia="Calibri" w:hAnsi="Calibri"/>
          <w:b/>
          <w:bCs/>
          <w:sz w:val="26"/>
          <w:szCs w:val="26"/>
        </w:rPr>
        <w:t xml:space="preserve">5.  Empowered Sales Managers with Agent-Level Insights</w:t>
      </w:r>
    </w:p>
    <w:p>
      <w:pPr>
        <w:spacing w:before="0" w:after="320"/>
        <w:jc w:val="both"/>
      </w:pPr>
      <w:r>
        <w:rPr>
          <w:rFonts w:ascii="Calibri" w:cs="Calibri" w:eastAsia="Calibri" w:hAnsi="Calibri"/>
          <w:color w:val="333333"/>
          <w:sz w:val="22"/>
          <w:szCs w:val="22"/>
        </w:rPr>
        <w:t xml:space="preserve">The Sales Agent Performance page provided individual-level revenue contribution data broken down by region, product category, and time period. Sales managers used these insights to identify top performers, coach underperforming agents, and redesign territory allocations — directly improving team productivity and sales strategies.</w:t>
      </w:r>
    </w:p>
    <w:p>
      <w:pPr>
        <w:spacing w:before="0" w:after="120"/>
      </w:pPr>
      <w:r>
        <w:rPr>
          <w:rFonts w:ascii="Calibri" w:cs="Calibri" w:eastAsia="Calibri" w:hAnsi="Calibri"/>
          <w:b/>
          <w:bCs/>
          <w:sz w:val="26"/>
          <w:szCs w:val="26"/>
        </w:rPr>
        <w:t xml:space="preserve">6.  Scalable Star Schema with Zero VLOOKUP Dependency</w:t>
      </w:r>
    </w:p>
    <w:p>
      <w:pPr>
        <w:spacing w:before="0" w:after="320"/>
        <w:jc w:val="both"/>
      </w:pPr>
      <w:r>
        <w:rPr>
          <w:rFonts w:ascii="Calibri" w:cs="Calibri" w:eastAsia="Calibri" w:hAnsi="Calibri"/>
          <w:color w:val="333333"/>
          <w:sz w:val="22"/>
          <w:szCs w:val="22"/>
        </w:rPr>
        <w:t xml:space="preserve">A robust star schema data model was built connecting six data sources — Sales Agent, LinkedDrugs, LinkedManufacturers, Inventory, Supplier, and a custom Date table — through proper one-to-many relationships. This eliminated all VLOOKUP-based manual joins, ensured accurate aggregations across all visuals, and made the model fully scalable for future data sources.</w:t>
      </w:r>
    </w:p>
    <w:p>
      <w:pPr>
        <w:spacing w:before="0" w:after="120"/>
      </w:pPr>
      <w:r>
        <w:rPr>
          <w:rFonts w:ascii="Calibri" w:cs="Calibri" w:eastAsia="Calibri" w:hAnsi="Calibri"/>
          <w:b/>
          <w:bCs/>
          <w:sz w:val="26"/>
          <w:szCs w:val="26"/>
        </w:rPr>
        <w:t xml:space="preserve">7.  Daily Monitoring Replacing Monthly Manual Cycles</w:t>
      </w:r>
    </w:p>
    <w:p>
      <w:pPr>
        <w:spacing w:before="0" w:after="0"/>
        <w:jc w:val="both"/>
      </w:pPr>
      <w:r>
        <w:rPr>
          <w:rFonts w:ascii="Calibri" w:cs="Calibri" w:eastAsia="Calibri" w:hAnsi="Calibri"/>
          <w:color w:val="333333"/>
          <w:sz w:val="22"/>
          <w:szCs w:val="22"/>
        </w:rPr>
        <w:t xml:space="preserve">Prior to this project, the client could only view consolidated sales and inventory data on a monthly basis after a manual update cycle. With automated daily refresh configured in Power BI Service, stakeholders now have access to updated reports every day — enabling faster decisions and eliminating the month-end reporting bottleneck.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2026-03-12T15:09:49.199Z</dcterms:created>
  <dcterms:modified xsi:type="dcterms:W3CDTF">2026-03-12T15:09:49.200Z</dcterms:modified>
</cp:coreProperties>
</file>

<file path=docProps/custom.xml><?xml version="1.0" encoding="utf-8"?>
<Properties xmlns="http://schemas.openxmlformats.org/officeDocument/2006/custom-properties" xmlns:vt="http://schemas.openxmlformats.org/officeDocument/2006/docPropsVTypes"/>
</file>