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2A4A" w:val="clear"/>
            <w:tcMar>
              <w:top w:type="dxa" w:w="400"/>
              <w:left w:type="dxa" w:w="400"/>
              <w:bottom w:type="dxa" w:w="400"/>
              <w:right w:type="dxa" w:w="400"/>
            </w:tcMar>
          </w:tcPr>
          <w:p>
            <w:pPr>
              <w:spacing w:before="0" w:after="120"/>
            </w:pPr>
            <w:r>
              <w:rPr>
                <w:rFonts w:ascii="Arial" w:cs="Arial" w:eastAsia="Arial" w:hAnsi="Arial"/>
                <w:b/>
                <w:bCs/>
                <w:color w:val="C8902A"/>
                <w:spacing w:val="100"/>
                <w:sz w:val="20"/>
                <w:szCs w:val="20"/>
              </w:rPr>
              <w:t xml:space="preserve">USE CASE DOCUMENT</w:t>
            </w:r>
          </w:p>
          <w:p>
            <w:pPr>
              <w:spacing w:before="0" w:after="120"/>
            </w:pPr>
            <w:r>
              <w:rPr>
                <w:rFonts w:ascii="Arial" w:cs="Arial" w:eastAsia="Arial" w:hAnsi="Arial"/>
                <w:b/>
                <w:bCs/>
                <w:color w:val="FFFFFF"/>
                <w:sz w:val="52"/>
                <w:szCs w:val="52"/>
              </w:rPr>
              <w:t xml:space="preserve">Pharma Sales Analytics Dashboard</w:t>
            </w:r>
          </w:p>
          <w:p>
            <w:pPr>
              <w:spacing w:before="0" w:after="0"/>
            </w:pPr>
            <w:r>
              <w:rPr>
                <w:rFonts w:ascii="Arial" w:cs="Arial" w:eastAsia="Arial" w:hAnsi="Arial"/>
                <w:color w:val="A8B8CC"/>
                <w:sz w:val="24"/>
                <w:szCs w:val="24"/>
              </w:rPr>
              <w:t xml:space="preserve">Kipla Pharmaceuticals  —  RPT-001</w:t>
            </w:r>
          </w:p>
        </w:tc>
      </w:tr>
    </w:tbl>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D0D5E0" w:sz="1"/>
              <w:left w:val="single" w:color="D0D5E0" w:sz="1"/>
              <w:bottom w:val="single" w:color="D0D5E0" w:sz="1"/>
              <w:right w:val="single" w:color="D0D5E0" w:sz="1"/>
            </w:tcBorders>
            <w:shd w:fill="F5F7FA" w:val="clear"/>
            <w:tcMar>
              <w:top w:type="dxa" w:w="120"/>
              <w:left w:type="dxa" w:w="160"/>
              <w:bottom w:type="dxa" w:w="120"/>
              <w:right w:type="dxa" w:w="160"/>
            </w:tcMar>
          </w:tcPr>
          <w:p>
            <w:pPr>
              <w:spacing w:before="0" w:after="40"/>
            </w:pPr>
            <w:r>
              <w:rPr>
                <w:rFonts w:ascii="Arial" w:cs="Arial" w:eastAsia="Arial" w:hAnsi="Arial"/>
                <w:b w:val="false"/>
                <w:bCs w:val="false"/>
                <w:color w:val="7A849A"/>
                <w:sz w:val="16"/>
                <w:szCs w:val="16"/>
              </w:rPr>
              <w:t xml:space="preserve">Client</w:t>
            </w:r>
          </w:p>
          <w:p>
            <w:pPr>
              <w:spacing w:before="0" w:after="0"/>
            </w:pPr>
            <w:r>
              <w:rPr>
                <w:rFonts w:ascii="Arial" w:cs="Arial" w:eastAsia="Arial" w:hAnsi="Arial"/>
                <w:b/>
                <w:bCs/>
                <w:color w:val="1B2A4A"/>
                <w:sz w:val="19"/>
                <w:szCs w:val="19"/>
              </w:rPr>
              <w:t xml:space="preserve">Kipla Pharmaceuticals</w:t>
            </w:r>
          </w:p>
        </w:tc>
        <w:tc>
          <w:tcPr>
            <w:tcW w:type="dxa" w:w="2016"/>
            <w:tcBorders>
              <w:top w:val="single" w:color="D0D5E0" w:sz="1"/>
              <w:left w:val="single" w:color="D0D5E0" w:sz="1"/>
              <w:bottom w:val="single" w:color="D0D5E0" w:sz="1"/>
              <w:right w:val="single" w:color="D0D5E0" w:sz="1"/>
            </w:tcBorders>
            <w:shd w:fill="F5F7FA" w:val="clear"/>
            <w:tcMar>
              <w:top w:type="dxa" w:w="120"/>
              <w:left w:type="dxa" w:w="160"/>
              <w:bottom w:type="dxa" w:w="120"/>
              <w:right w:type="dxa" w:w="160"/>
            </w:tcMar>
          </w:tcPr>
          <w:p>
            <w:pPr>
              <w:spacing w:before="0" w:after="40"/>
            </w:pPr>
            <w:r>
              <w:rPr>
                <w:rFonts w:ascii="Arial" w:cs="Arial" w:eastAsia="Arial" w:hAnsi="Arial"/>
                <w:b w:val="false"/>
                <w:bCs w:val="false"/>
                <w:color w:val="7A849A"/>
                <w:sz w:val="16"/>
                <w:szCs w:val="16"/>
              </w:rPr>
              <w:t xml:space="preserve">Requested By</w:t>
            </w:r>
          </w:p>
          <w:p>
            <w:pPr>
              <w:spacing w:before="0" w:after="0"/>
            </w:pPr>
            <w:r>
              <w:rPr>
                <w:rFonts w:ascii="Arial" w:cs="Arial" w:eastAsia="Arial" w:hAnsi="Arial"/>
                <w:b/>
                <w:bCs/>
                <w:color w:val="1B2A4A"/>
                <w:sz w:val="19"/>
                <w:szCs w:val="19"/>
              </w:rPr>
              <w:t xml:space="preserve">Sales Account Manager</w:t>
            </w:r>
          </w:p>
        </w:tc>
        <w:tc>
          <w:tcPr>
            <w:tcW w:type="dxa" w:w="2016"/>
            <w:tcBorders>
              <w:top w:val="single" w:color="D0D5E0" w:sz="1"/>
              <w:left w:val="single" w:color="D0D5E0" w:sz="1"/>
              <w:bottom w:val="single" w:color="D0D5E0" w:sz="1"/>
              <w:right w:val="single" w:color="D0D5E0" w:sz="1"/>
            </w:tcBorders>
            <w:shd w:fill="F5F7FA" w:val="clear"/>
            <w:tcMar>
              <w:top w:type="dxa" w:w="120"/>
              <w:left w:type="dxa" w:w="160"/>
              <w:bottom w:type="dxa" w:w="120"/>
              <w:right w:type="dxa" w:w="160"/>
            </w:tcMar>
          </w:tcPr>
          <w:p>
            <w:pPr>
              <w:spacing w:before="0" w:after="40"/>
            </w:pPr>
            <w:r>
              <w:rPr>
                <w:rFonts w:ascii="Arial" w:cs="Arial" w:eastAsia="Arial" w:hAnsi="Arial"/>
                <w:b w:val="false"/>
                <w:bCs w:val="false"/>
                <w:color w:val="7A849A"/>
                <w:sz w:val="16"/>
                <w:szCs w:val="16"/>
              </w:rPr>
              <w:t xml:space="preserve">Data Range</w:t>
            </w:r>
          </w:p>
          <w:p>
            <w:pPr>
              <w:spacing w:before="0" w:after="0"/>
            </w:pPr>
            <w:r>
              <w:rPr>
                <w:rFonts w:ascii="Arial" w:cs="Arial" w:eastAsia="Arial" w:hAnsi="Arial"/>
                <w:b/>
                <w:bCs/>
                <w:color w:val="1B2A4A"/>
                <w:sz w:val="19"/>
                <w:szCs w:val="19"/>
              </w:rPr>
              <w:t xml:space="preserve">2022 – 2024</w:t>
            </w:r>
          </w:p>
        </w:tc>
        <w:tc>
          <w:tcPr>
            <w:tcW w:type="dxa" w:w="2016"/>
            <w:tcBorders>
              <w:top w:val="single" w:color="D0D5E0" w:sz="1"/>
              <w:left w:val="single" w:color="D0D5E0" w:sz="1"/>
              <w:bottom w:val="single" w:color="D0D5E0" w:sz="1"/>
              <w:right w:val="single" w:color="D0D5E0" w:sz="1"/>
            </w:tcBorders>
            <w:shd w:fill="F5F7FA" w:val="clear"/>
            <w:tcMar>
              <w:top w:type="dxa" w:w="120"/>
              <w:left w:type="dxa" w:w="160"/>
              <w:bottom w:type="dxa" w:w="120"/>
              <w:right w:type="dxa" w:w="160"/>
            </w:tcMar>
          </w:tcPr>
          <w:p>
            <w:pPr>
              <w:spacing w:before="0" w:after="40"/>
            </w:pPr>
            <w:r>
              <w:rPr>
                <w:rFonts w:ascii="Arial" w:cs="Arial" w:eastAsia="Arial" w:hAnsi="Arial"/>
                <w:b w:val="false"/>
                <w:bCs w:val="false"/>
                <w:color w:val="7A849A"/>
                <w:sz w:val="16"/>
                <w:szCs w:val="16"/>
              </w:rPr>
              <w:t xml:space="preserve">Refresh</w:t>
            </w:r>
          </w:p>
          <w:p>
            <w:pPr>
              <w:spacing w:before="0" w:after="0"/>
            </w:pPr>
            <w:r>
              <w:rPr>
                <w:rFonts w:ascii="Arial" w:cs="Arial" w:eastAsia="Arial" w:hAnsi="Arial"/>
                <w:b/>
                <w:bCs/>
                <w:color w:val="1B2A4A"/>
                <w:sz w:val="19"/>
                <w:szCs w:val="19"/>
              </w:rPr>
              <w:t xml:space="preserve">Automated Daily</w:t>
            </w:r>
          </w:p>
        </w:tc>
        <w:tc>
          <w:tcPr>
            <w:tcW w:type="dxa" w:w="2016"/>
            <w:tcBorders>
              <w:top w:val="single" w:color="D0D5E0" w:sz="1"/>
              <w:left w:val="single" w:color="D0D5E0" w:sz="1"/>
              <w:bottom w:val="single" w:color="D0D5E0" w:sz="1"/>
              <w:right w:val="single" w:color="D0D5E0" w:sz="1"/>
            </w:tcBorders>
            <w:shd w:fill="F5F7FA" w:val="clear"/>
            <w:tcMar>
              <w:top w:type="dxa" w:w="120"/>
              <w:left w:type="dxa" w:w="160"/>
              <w:bottom w:type="dxa" w:w="120"/>
              <w:right w:type="dxa" w:w="160"/>
            </w:tcMar>
          </w:tcPr>
          <w:p>
            <w:pPr>
              <w:spacing w:before="0" w:after="40"/>
            </w:pPr>
            <w:r>
              <w:rPr>
                <w:rFonts w:ascii="Arial" w:cs="Arial" w:eastAsia="Arial" w:hAnsi="Arial"/>
                <w:b w:val="false"/>
                <w:bCs w:val="false"/>
                <w:color w:val="7A849A"/>
                <w:sz w:val="16"/>
                <w:szCs w:val="16"/>
              </w:rPr>
              <w:t xml:space="preserve">Doc ID</w:t>
            </w:r>
          </w:p>
          <w:p>
            <w:pPr>
              <w:spacing w:before="0" w:after="0"/>
            </w:pPr>
            <w:r>
              <w:rPr>
                <w:rFonts w:ascii="Arial" w:cs="Arial" w:eastAsia="Arial" w:hAnsi="Arial"/>
                <w:b/>
                <w:bCs/>
                <w:color w:val="1B2A4A"/>
                <w:sz w:val="19"/>
                <w:szCs w:val="19"/>
              </w:rPr>
              <w:t xml:space="preserve">RPT-001</w:t>
            </w:r>
          </w:p>
        </w:tc>
      </w:tr>
    </w:tbl>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C8902A" w:sz="1"/>
              <w:left w:val="single" w:color="C8902A" w:sz="1"/>
              <w:bottom w:val="single" w:color="C8902A" w:sz="1"/>
              <w:right w:val="single" w:color="C8902A" w:sz="1"/>
            </w:tcBorders>
            <w:shd w:fill="FDF6E8" w:val="clear"/>
            <w:tcMar>
              <w:top w:type="dxa" w:w="140"/>
              <w:left w:type="dxa" w:w="160"/>
              <w:bottom w:type="dxa" w:w="140"/>
              <w:right w:type="dxa" w:w="160"/>
            </w:tcMar>
          </w:tcPr>
          <w:p>
            <w:pPr>
              <w:spacing w:before="0" w:after="40"/>
              <w:jc w:val="center"/>
            </w:pPr>
            <w:r>
              <w:rPr>
                <w:rFonts w:ascii="Arial" w:cs="Arial" w:eastAsia="Arial" w:hAnsi="Arial"/>
                <w:b/>
                <w:bCs/>
                <w:color w:val="C8902A"/>
                <w:sz w:val="40"/>
                <w:szCs w:val="40"/>
              </w:rPr>
              <w:t xml:space="preserve">6</w:t>
            </w:r>
          </w:p>
          <w:p>
            <w:pPr>
              <w:spacing w:before="0" w:after="0"/>
              <w:jc w:val="center"/>
            </w:pPr>
            <w:r>
              <w:rPr>
                <w:rFonts w:ascii="Arial" w:cs="Arial" w:eastAsia="Arial" w:hAnsi="Arial"/>
                <w:color w:val="7A849A"/>
                <w:sz w:val="16"/>
                <w:szCs w:val="16"/>
              </w:rPr>
              <w:t xml:space="preserve">Data Tables</w:t>
            </w:r>
          </w:p>
        </w:tc>
        <w:tc>
          <w:tcPr>
            <w:tcW w:type="dxa" w:w="2016"/>
            <w:tcBorders>
              <w:top w:val="single" w:color="C8902A" w:sz="1"/>
              <w:left w:val="single" w:color="C8902A" w:sz="1"/>
              <w:bottom w:val="single" w:color="C8902A" w:sz="1"/>
              <w:right w:val="single" w:color="C8902A" w:sz="1"/>
            </w:tcBorders>
            <w:shd w:fill="FDF6E8" w:val="clear"/>
            <w:tcMar>
              <w:top w:type="dxa" w:w="140"/>
              <w:left w:type="dxa" w:w="160"/>
              <w:bottom w:type="dxa" w:w="140"/>
              <w:right w:type="dxa" w:w="160"/>
            </w:tcMar>
          </w:tcPr>
          <w:p>
            <w:pPr>
              <w:spacing w:before="0" w:after="40"/>
              <w:jc w:val="center"/>
            </w:pPr>
            <w:r>
              <w:rPr>
                <w:rFonts w:ascii="Arial" w:cs="Arial" w:eastAsia="Arial" w:hAnsi="Arial"/>
                <w:b/>
                <w:bCs/>
                <w:color w:val="C8902A"/>
                <w:sz w:val="40"/>
                <w:szCs w:val="40"/>
              </w:rPr>
              <w:t xml:space="preserve">16</w:t>
            </w:r>
          </w:p>
          <w:p>
            <w:pPr>
              <w:spacing w:before="0" w:after="0"/>
              <w:jc w:val="center"/>
            </w:pPr>
            <w:r>
              <w:rPr>
                <w:rFonts w:ascii="Arial" w:cs="Arial" w:eastAsia="Arial" w:hAnsi="Arial"/>
                <w:color w:val="7A849A"/>
                <w:sz w:val="16"/>
                <w:szCs w:val="16"/>
              </w:rPr>
              <w:t xml:space="preserve">Sales Columns</w:t>
            </w:r>
          </w:p>
        </w:tc>
        <w:tc>
          <w:tcPr>
            <w:tcW w:type="dxa" w:w="2016"/>
            <w:tcBorders>
              <w:top w:val="single" w:color="C8902A" w:sz="1"/>
              <w:left w:val="single" w:color="C8902A" w:sz="1"/>
              <w:bottom w:val="single" w:color="C8902A" w:sz="1"/>
              <w:right w:val="single" w:color="C8902A" w:sz="1"/>
            </w:tcBorders>
            <w:shd w:fill="FDF6E8" w:val="clear"/>
            <w:tcMar>
              <w:top w:type="dxa" w:w="140"/>
              <w:left w:type="dxa" w:w="160"/>
              <w:bottom w:type="dxa" w:w="140"/>
              <w:right w:type="dxa" w:w="160"/>
            </w:tcMar>
          </w:tcPr>
          <w:p>
            <w:pPr>
              <w:spacing w:before="0" w:after="40"/>
              <w:jc w:val="center"/>
            </w:pPr>
            <w:r>
              <w:rPr>
                <w:rFonts w:ascii="Arial" w:cs="Arial" w:eastAsia="Arial" w:hAnsi="Arial"/>
                <w:b/>
                <w:bCs/>
                <w:color w:val="C8902A"/>
                <w:sz w:val="40"/>
                <w:szCs w:val="40"/>
              </w:rPr>
              <w:t xml:space="preserve">6</w:t>
            </w:r>
          </w:p>
          <w:p>
            <w:pPr>
              <w:spacing w:before="0" w:after="0"/>
              <w:jc w:val="center"/>
            </w:pPr>
            <w:r>
              <w:rPr>
                <w:rFonts w:ascii="Arial" w:cs="Arial" w:eastAsia="Arial" w:hAnsi="Arial"/>
                <w:color w:val="7A849A"/>
                <w:sz w:val="16"/>
                <w:szCs w:val="16"/>
              </w:rPr>
              <w:t xml:space="preserve">KPIs Tracked</w:t>
            </w:r>
          </w:p>
        </w:tc>
        <w:tc>
          <w:tcPr>
            <w:tcW w:type="dxa" w:w="2016"/>
            <w:tcBorders>
              <w:top w:val="single" w:color="C8902A" w:sz="1"/>
              <w:left w:val="single" w:color="C8902A" w:sz="1"/>
              <w:bottom w:val="single" w:color="C8902A" w:sz="1"/>
              <w:right w:val="single" w:color="C8902A" w:sz="1"/>
            </w:tcBorders>
            <w:shd w:fill="FDF6E8" w:val="clear"/>
            <w:tcMar>
              <w:top w:type="dxa" w:w="140"/>
              <w:left w:type="dxa" w:w="160"/>
              <w:bottom w:type="dxa" w:w="140"/>
              <w:right w:type="dxa" w:w="160"/>
            </w:tcMar>
          </w:tcPr>
          <w:p>
            <w:pPr>
              <w:spacing w:before="0" w:after="40"/>
              <w:jc w:val="center"/>
            </w:pPr>
            <w:r>
              <w:rPr>
                <w:rFonts w:ascii="Arial" w:cs="Arial" w:eastAsia="Arial" w:hAnsi="Arial"/>
                <w:b/>
                <w:bCs/>
                <w:color w:val="C8902A"/>
                <w:sz w:val="40"/>
                <w:szCs w:val="40"/>
              </w:rPr>
              <w:t xml:space="preserve">3</w:t>
            </w:r>
          </w:p>
          <w:p>
            <w:pPr>
              <w:spacing w:before="0" w:after="0"/>
              <w:jc w:val="center"/>
            </w:pPr>
            <w:r>
              <w:rPr>
                <w:rFonts w:ascii="Arial" w:cs="Arial" w:eastAsia="Arial" w:hAnsi="Arial"/>
                <w:color w:val="7A849A"/>
                <w:sz w:val="16"/>
                <w:szCs w:val="16"/>
              </w:rPr>
              <w:t xml:space="preserve">User Personas</w:t>
            </w:r>
          </w:p>
        </w:tc>
        <w:tc>
          <w:tcPr>
            <w:tcW w:type="dxa" w:w="2016"/>
            <w:tcBorders>
              <w:top w:val="single" w:color="C8902A" w:sz="1"/>
              <w:left w:val="single" w:color="C8902A" w:sz="1"/>
              <w:bottom w:val="single" w:color="C8902A" w:sz="1"/>
              <w:right w:val="single" w:color="C8902A" w:sz="1"/>
            </w:tcBorders>
            <w:shd w:fill="FDF6E8" w:val="clear"/>
            <w:tcMar>
              <w:top w:type="dxa" w:w="140"/>
              <w:left w:type="dxa" w:w="160"/>
              <w:bottom w:type="dxa" w:w="140"/>
              <w:right w:type="dxa" w:w="160"/>
            </w:tcMar>
          </w:tcPr>
          <w:p>
            <w:pPr>
              <w:spacing w:before="0" w:after="40"/>
              <w:jc w:val="center"/>
            </w:pPr>
            <w:r>
              <w:rPr>
                <w:rFonts w:ascii="Arial" w:cs="Arial" w:eastAsia="Arial" w:hAnsi="Arial"/>
                <w:b/>
                <w:bCs/>
                <w:color w:val="C8902A"/>
                <w:sz w:val="40"/>
                <w:szCs w:val="40"/>
              </w:rPr>
              <w:t xml:space="preserve">Daily</w:t>
            </w:r>
          </w:p>
          <w:p>
            <w:pPr>
              <w:spacing w:before="0" w:after="0"/>
              <w:jc w:val="center"/>
            </w:pPr>
            <w:r>
              <w:rPr>
                <w:rFonts w:ascii="Arial" w:cs="Arial" w:eastAsia="Arial" w:hAnsi="Arial"/>
                <w:color w:val="7A849A"/>
                <w:sz w:val="16"/>
                <w:szCs w:val="16"/>
              </w:rPr>
              <w:t xml:space="preserve">Auto Refresh</w:t>
            </w:r>
          </w:p>
        </w:tc>
      </w:tr>
    </w:tbl>
    <w:p>
      <w:pPr>
        <w:spacing w:before="0" w:after="320"/>
      </w:pPr>
    </w:p>
    <w:p>
      <w:pPr>
        <w:pBdr>
          <w:bottom w:val="single" w:color="C8902A" w:sz="3" w:space="4"/>
        </w:pBdr>
        <w:spacing w:before="400" w:after="160"/>
      </w:pPr>
      <w:r>
        <w:rPr>
          <w:rFonts w:ascii="Arial" w:cs="Arial" w:eastAsia="Arial" w:hAnsi="Arial"/>
          <w:b/>
          <w:bCs/>
          <w:color w:val="1B2A4A"/>
          <w:sz w:val="36"/>
          <w:szCs w:val="36"/>
        </w:rPr>
        <w:t xml:space="preserve">1.  Project Overview</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02A" w:sz="4"/>
              <w:left w:val="single" w:color="D0D5E0" w:sz="1"/>
              <w:bottom w:val="single" w:color="D0D5E0" w:sz="1"/>
              <w:right w:val="single" w:color="D0D5E0" w:sz="1"/>
            </w:tcBorders>
            <w:shd w:fill="F5F7FA" w:val="clear"/>
            <w:tcMar>
              <w:top w:type="dxa" w:w="160"/>
              <w:left w:type="dxa" w:w="200"/>
              <w:bottom w:type="dxa" w:w="160"/>
              <w:right w:type="dxa" w:w="200"/>
            </w:tcMar>
          </w:tcPr>
          <w:p>
            <w:pPr>
              <w:spacing w:before="0" w:after="80"/>
            </w:pPr>
            <w:r>
              <w:rPr>
                <w:rFonts w:ascii="Arial" w:cs="Arial" w:eastAsia="Arial" w:hAnsi="Arial"/>
                <w:b/>
                <w:bCs/>
                <w:color w:val="1B2A4A"/>
                <w:sz w:val="22"/>
                <w:szCs w:val="22"/>
              </w:rPr>
              <w:t xml:space="preserve">About Kipla</w:t>
            </w:r>
          </w:p>
          <w:p>
            <w:pPr>
              <w:spacing w:before="0" w:after="0"/>
              <w:jc w:val="both"/>
            </w:pPr>
            <w:r>
              <w:rPr>
                <w:rFonts w:ascii="Arial" w:cs="Arial" w:eastAsia="Arial" w:hAnsi="Arial"/>
                <w:color w:val="4A5568"/>
                <w:sz w:val="21"/>
                <w:szCs w:val="21"/>
              </w:rPr>
              <w:t xml:space="preserve">Kipla is a globally trusted pharmaceutical company with over 8 decades of experience ensuring access to high-quality, affordable medicines. Healthcare professionals and patients across geographies rely on Kipla's portfolio of products for critical therapeutic needs.</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02A" w:sz="4"/>
              <w:left w:val="single" w:color="D0D5E0" w:sz="1"/>
              <w:bottom w:val="single" w:color="D0D5E0" w:sz="1"/>
              <w:right w:val="single" w:color="D0D5E0" w:sz="1"/>
            </w:tcBorders>
            <w:shd w:fill="EEF3FB" w:val="clear"/>
            <w:tcMar>
              <w:top w:type="dxa" w:w="160"/>
              <w:left w:type="dxa" w:w="200"/>
              <w:bottom w:type="dxa" w:w="160"/>
              <w:right w:type="dxa" w:w="200"/>
            </w:tcMar>
          </w:tcPr>
          <w:p>
            <w:pPr>
              <w:spacing w:before="0" w:after="80"/>
            </w:pPr>
            <w:r>
              <w:rPr>
                <w:rFonts w:ascii="Arial" w:cs="Arial" w:eastAsia="Arial" w:hAnsi="Arial"/>
                <w:b/>
                <w:bCs/>
                <w:color w:val="1B2A4A"/>
                <w:sz w:val="22"/>
                <w:szCs w:val="22"/>
              </w:rPr>
              <w:t xml:space="preserve">Business Problem</w:t>
            </w:r>
          </w:p>
          <w:p>
            <w:pPr>
              <w:spacing w:before="0" w:after="0"/>
              <w:jc w:val="both"/>
            </w:pPr>
            <w:r>
              <w:rPr>
                <w:rFonts w:ascii="Arial" w:cs="Arial" w:eastAsia="Arial" w:hAnsi="Arial"/>
                <w:color w:val="4A5568"/>
                <w:sz w:val="21"/>
                <w:szCs w:val="21"/>
              </w:rPr>
              <w:t xml:space="preserve">The Pharma Sales Account Manager needed a unified view of sales performance across regions, customer segments, and suppliers. Sales data was fragmented across multiple sources, making it difficult to identify trends, flag underperforming markets, or make timely decisions on distribution strategy. A consolidated, interactive dashboard was required to replace manual reporting and provide always-current insights to commercial leadership.</w:t>
            </w:r>
          </w:p>
        </w:tc>
      </w:tr>
    </w:tbl>
    <w:p>
      <w:pPr>
        <w:spacing w:before="0" w:after="200"/>
      </w:pPr>
    </w:p>
    <w:p>
      <w:pPr>
        <w:pBdr>
          <w:bottom w:val="single" w:color="C8902A" w:sz="3" w:space="4"/>
        </w:pBdr>
        <w:spacing w:before="400" w:after="160"/>
      </w:pPr>
      <w:r>
        <w:rPr>
          <w:rFonts w:ascii="Arial" w:cs="Arial" w:eastAsia="Arial" w:hAnsi="Arial"/>
          <w:b/>
          <w:bCs/>
          <w:color w:val="1B2A4A"/>
          <w:sz w:val="36"/>
          <w:szCs w:val="36"/>
        </w:rPr>
        <w:t xml:space="preserve">2.  Business Goals</w:t>
      </w:r>
    </w:p>
    <w:p>
      <w:pPr>
        <w:spacing w:before="0" w:after="80"/>
      </w:pPr>
    </w:p>
    <w:p>
      <w:pPr>
        <w:spacing w:before="0" w:after="120"/>
        <w:jc w:val="both"/>
      </w:pPr>
      <w:r>
        <w:rPr>
          <w:rFonts w:ascii="Arial" w:cs="Arial" w:eastAsia="Arial" w:hAnsi="Arial"/>
          <w:color w:val="4A5568"/>
          <w:sz w:val="22"/>
          <w:szCs w:val="22"/>
        </w:rPr>
        <w:t xml:space="preserve">The dashboard was designed to achieve the following six strategic goals:</w:t>
      </w:r>
    </w:p>
    <w:p>
      <w:pPr>
        <w:spacing w:before="0"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D0D5E0" w:sz="1"/>
              <w:left w:val="single" w:color="D0D5E0" w:sz="1"/>
              <w:bottom w:val="single" w:color="D0D5E0" w:sz="1"/>
              <w:right w:val="single" w:color="D0D5E0" w:sz="1"/>
            </w:tcBorders>
            <w:shd w:fill="1B2A4A" w:val="clear"/>
            <w:tcMar>
              <w:top w:type="dxa" w:w="120"/>
              <w:left w:type="dxa" w:w="160"/>
              <w:bottom w:type="dxa" w:w="120"/>
              <w:right w:type="dxa" w:w="160"/>
            </w:tcMar>
            <w:vAlign w:val="center"/>
          </w:tcPr>
          <w:p>
            <w:pPr>
              <w:jc w:val="center"/>
            </w:pPr>
            <w:r>
              <w:rPr>
                <w:rFonts w:ascii="Arial" w:cs="Arial" w:eastAsia="Arial" w:hAnsi="Arial"/>
                <w:b/>
                <w:bCs/>
                <w:color w:val="C8902A"/>
                <w:sz w:val="28"/>
                <w:szCs w:val="28"/>
              </w:rPr>
              <w:t xml:space="preserve">01</w:t>
            </w:r>
          </w:p>
        </w:tc>
        <w:tc>
          <w:tcPr>
            <w:tcW w:type="dxa" w:w="8680"/>
            <w:tcBorders>
              <w:top w:val="single" w:color="D0D5E0" w:sz="1"/>
              <w:left w:val="single" w:color="D0D5E0" w:sz="1"/>
              <w:bottom w:val="single" w:color="D0D5E0" w:sz="1"/>
              <w:right w:val="single" w:color="D0D5E0" w:sz="1"/>
            </w:tcBorders>
            <w:shd w:fill="F5F7FA" w:val="clear"/>
            <w:tcMar>
              <w:top w:type="dxa" w:w="120"/>
              <w:left w:type="dxa" w:w="180"/>
              <w:bottom w:type="dxa" w:w="120"/>
              <w:right w:type="dxa" w:w="160"/>
            </w:tcMar>
          </w:tcPr>
          <w:p>
            <w:pPr>
              <w:spacing w:before="0" w:after="60"/>
            </w:pPr>
            <w:r>
              <w:rPr>
                <w:rFonts w:ascii="Arial" w:cs="Arial" w:eastAsia="Arial" w:hAnsi="Arial"/>
                <w:b/>
                <w:bCs/>
                <w:color w:val="1B2A4A"/>
                <w:sz w:val="21"/>
                <w:szCs w:val="21"/>
              </w:rPr>
              <w:t xml:space="preserve">Drug Performance Tracking</w:t>
            </w:r>
          </w:p>
          <w:p>
            <w:pPr>
              <w:spacing w:before="0" w:after="0"/>
            </w:pPr>
            <w:r>
              <w:rPr>
                <w:rFonts w:ascii="Arial" w:cs="Arial" w:eastAsia="Arial" w:hAnsi="Arial"/>
                <w:color w:val="4A5568"/>
                <w:sz w:val="20"/>
                <w:szCs w:val="20"/>
              </w:rPr>
              <w:t xml:space="preserve">Track how individual drugs and product lines perform across markets, enabling early identification of growth opportunities and declining categories.</w:t>
            </w:r>
          </w:p>
        </w:tc>
      </w:tr>
      <w:tr>
        <w:tc>
          <w:tcPr>
            <w:tcW w:type="dxa" w:w="1400"/>
            <w:tcBorders>
              <w:top w:val="single" w:color="D0D5E0" w:sz="1"/>
              <w:left w:val="single" w:color="D0D5E0" w:sz="1"/>
              <w:bottom w:val="single" w:color="D0D5E0" w:sz="1"/>
              <w:right w:val="single" w:color="D0D5E0" w:sz="1"/>
            </w:tcBorders>
            <w:shd w:fill="253555" w:val="clear"/>
            <w:tcMar>
              <w:top w:type="dxa" w:w="120"/>
              <w:left w:type="dxa" w:w="160"/>
              <w:bottom w:type="dxa" w:w="120"/>
              <w:right w:type="dxa" w:w="160"/>
            </w:tcMar>
            <w:vAlign w:val="center"/>
          </w:tcPr>
          <w:p>
            <w:pPr>
              <w:jc w:val="center"/>
            </w:pPr>
            <w:r>
              <w:rPr>
                <w:rFonts w:ascii="Arial" w:cs="Arial" w:eastAsia="Arial" w:hAnsi="Arial"/>
                <w:b/>
                <w:bCs/>
                <w:color w:val="C8902A"/>
                <w:sz w:val="28"/>
                <w:szCs w:val="28"/>
              </w:rPr>
              <w:t xml:space="preserve">02</w:t>
            </w:r>
          </w:p>
        </w:tc>
        <w:tc>
          <w:tcPr>
            <w:tcW w:type="dxa" w:w="8680"/>
            <w:tcBorders>
              <w:top w:val="single" w:color="D0D5E0" w:sz="1"/>
              <w:left w:val="single" w:color="D0D5E0" w:sz="1"/>
              <w:bottom w:val="single" w:color="D0D5E0" w:sz="1"/>
              <w:right w:val="single" w:color="D0D5E0" w:sz="1"/>
            </w:tcBorders>
            <w:shd w:fill="FFFFFF" w:val="clear"/>
            <w:tcMar>
              <w:top w:type="dxa" w:w="120"/>
              <w:left w:type="dxa" w:w="180"/>
              <w:bottom w:type="dxa" w:w="120"/>
              <w:right w:type="dxa" w:w="160"/>
            </w:tcMar>
          </w:tcPr>
          <w:p>
            <w:pPr>
              <w:spacing w:before="0" w:after="60"/>
            </w:pPr>
            <w:r>
              <w:rPr>
                <w:rFonts w:ascii="Arial" w:cs="Arial" w:eastAsia="Arial" w:hAnsi="Arial"/>
                <w:b/>
                <w:bCs/>
                <w:color w:val="1B2A4A"/>
                <w:sz w:val="21"/>
                <w:szCs w:val="21"/>
              </w:rPr>
              <w:t xml:space="preserve">Regional Sales Intelligence</w:t>
            </w:r>
          </w:p>
          <w:p>
            <w:pPr>
              <w:spacing w:before="0" w:after="0"/>
            </w:pPr>
            <w:r>
              <w:rPr>
                <w:rFonts w:ascii="Arial" w:cs="Arial" w:eastAsia="Arial" w:hAnsi="Arial"/>
                <w:color w:val="4A5568"/>
                <w:sz w:val="20"/>
                <w:szCs w:val="20"/>
              </w:rPr>
              <w:t xml:space="preserve">Understand which regions or zones are exceeding or underperforming targets so leadership can allocate resources and redirect sales efforts effectively.</w:t>
            </w:r>
          </w:p>
        </w:tc>
      </w:tr>
      <w:tr>
        <w:tc>
          <w:tcPr>
            <w:tcW w:type="dxa" w:w="1400"/>
            <w:tcBorders>
              <w:top w:val="single" w:color="D0D5E0" w:sz="1"/>
              <w:left w:val="single" w:color="D0D5E0" w:sz="1"/>
              <w:bottom w:val="single" w:color="D0D5E0" w:sz="1"/>
              <w:right w:val="single" w:color="D0D5E0" w:sz="1"/>
            </w:tcBorders>
            <w:shd w:fill="1B2A4A" w:val="clear"/>
            <w:tcMar>
              <w:top w:type="dxa" w:w="120"/>
              <w:left w:type="dxa" w:w="160"/>
              <w:bottom w:type="dxa" w:w="120"/>
              <w:right w:type="dxa" w:w="160"/>
            </w:tcMar>
            <w:vAlign w:val="center"/>
          </w:tcPr>
          <w:p>
            <w:pPr>
              <w:jc w:val="center"/>
            </w:pPr>
            <w:r>
              <w:rPr>
                <w:rFonts w:ascii="Arial" w:cs="Arial" w:eastAsia="Arial" w:hAnsi="Arial"/>
                <w:b/>
                <w:bCs/>
                <w:color w:val="C8902A"/>
                <w:sz w:val="28"/>
                <w:szCs w:val="28"/>
              </w:rPr>
              <w:t xml:space="preserve">03</w:t>
            </w:r>
          </w:p>
        </w:tc>
        <w:tc>
          <w:tcPr>
            <w:tcW w:type="dxa" w:w="8680"/>
            <w:tcBorders>
              <w:top w:val="single" w:color="D0D5E0" w:sz="1"/>
              <w:left w:val="single" w:color="D0D5E0" w:sz="1"/>
              <w:bottom w:val="single" w:color="D0D5E0" w:sz="1"/>
              <w:right w:val="single" w:color="D0D5E0" w:sz="1"/>
            </w:tcBorders>
            <w:shd w:fill="F5F7FA" w:val="clear"/>
            <w:tcMar>
              <w:top w:type="dxa" w:w="120"/>
              <w:left w:type="dxa" w:w="180"/>
              <w:bottom w:type="dxa" w:w="120"/>
              <w:right w:type="dxa" w:w="160"/>
            </w:tcMar>
          </w:tcPr>
          <w:p>
            <w:pPr>
              <w:spacing w:before="0" w:after="60"/>
            </w:pPr>
            <w:r>
              <w:rPr>
                <w:rFonts w:ascii="Arial" w:cs="Arial" w:eastAsia="Arial" w:hAnsi="Arial"/>
                <w:b/>
                <w:bCs/>
                <w:color w:val="1B2A4A"/>
                <w:sz w:val="21"/>
                <w:szCs w:val="21"/>
              </w:rPr>
              <w:t xml:space="preserve">Supplier Performance Monitoring</w:t>
            </w:r>
          </w:p>
          <w:p>
            <w:pPr>
              <w:spacing w:before="0" w:after="0"/>
            </w:pPr>
            <w:r>
              <w:rPr>
                <w:rFonts w:ascii="Arial" w:cs="Arial" w:eastAsia="Arial" w:hAnsi="Arial"/>
                <w:color w:val="4A5568"/>
                <w:sz w:val="20"/>
                <w:szCs w:val="20"/>
              </w:rPr>
              <w:t xml:space="preserve">Identify top-performing suppliers, flag delivery inefficiencies, and surface on-time delivery rates to reduce supply chain risk.</w:t>
            </w:r>
          </w:p>
        </w:tc>
      </w:tr>
      <w:tr>
        <w:tc>
          <w:tcPr>
            <w:tcW w:type="dxa" w:w="1400"/>
            <w:tcBorders>
              <w:top w:val="single" w:color="D0D5E0" w:sz="1"/>
              <w:left w:val="single" w:color="D0D5E0" w:sz="1"/>
              <w:bottom w:val="single" w:color="D0D5E0" w:sz="1"/>
              <w:right w:val="single" w:color="D0D5E0" w:sz="1"/>
            </w:tcBorders>
            <w:shd w:fill="253555" w:val="clear"/>
            <w:tcMar>
              <w:top w:type="dxa" w:w="120"/>
              <w:left w:type="dxa" w:w="160"/>
              <w:bottom w:type="dxa" w:w="120"/>
              <w:right w:type="dxa" w:w="160"/>
            </w:tcMar>
            <w:vAlign w:val="center"/>
          </w:tcPr>
          <w:p>
            <w:pPr>
              <w:jc w:val="center"/>
            </w:pPr>
            <w:r>
              <w:rPr>
                <w:rFonts w:ascii="Arial" w:cs="Arial" w:eastAsia="Arial" w:hAnsi="Arial"/>
                <w:b/>
                <w:bCs/>
                <w:color w:val="C8902A"/>
                <w:sz w:val="28"/>
                <w:szCs w:val="28"/>
              </w:rPr>
              <w:t xml:space="preserve">04</w:t>
            </w:r>
          </w:p>
        </w:tc>
        <w:tc>
          <w:tcPr>
            <w:tcW w:type="dxa" w:w="8680"/>
            <w:tcBorders>
              <w:top w:val="single" w:color="D0D5E0" w:sz="1"/>
              <w:left w:val="single" w:color="D0D5E0" w:sz="1"/>
              <w:bottom w:val="single" w:color="D0D5E0" w:sz="1"/>
              <w:right w:val="single" w:color="D0D5E0" w:sz="1"/>
            </w:tcBorders>
            <w:shd w:fill="FFFFFF" w:val="clear"/>
            <w:tcMar>
              <w:top w:type="dxa" w:w="120"/>
              <w:left w:type="dxa" w:w="180"/>
              <w:bottom w:type="dxa" w:w="120"/>
              <w:right w:type="dxa" w:w="160"/>
            </w:tcMar>
          </w:tcPr>
          <w:p>
            <w:pPr>
              <w:spacing w:before="0" w:after="60"/>
            </w:pPr>
            <w:r>
              <w:rPr>
                <w:rFonts w:ascii="Arial" w:cs="Arial" w:eastAsia="Arial" w:hAnsi="Arial"/>
                <w:b/>
                <w:bCs/>
                <w:color w:val="1B2A4A"/>
                <w:sz w:val="21"/>
                <w:szCs w:val="21"/>
              </w:rPr>
              <w:t xml:space="preserve">Revenue Forecasting</w:t>
            </w:r>
          </w:p>
          <w:p>
            <w:pPr>
              <w:spacing w:before="0" w:after="0"/>
            </w:pPr>
            <w:r>
              <w:rPr>
                <w:rFonts w:ascii="Arial" w:cs="Arial" w:eastAsia="Arial" w:hAnsi="Arial"/>
                <w:color w:val="4A5568"/>
                <w:sz w:val="20"/>
                <w:szCs w:val="20"/>
              </w:rPr>
              <w:t xml:space="preserve">Support forward-looking sales planning using historical trends from 2022-2024, enabling accurate quota-setting and budget allocation.</w:t>
            </w:r>
          </w:p>
        </w:tc>
      </w:tr>
      <w:tr>
        <w:tc>
          <w:tcPr>
            <w:tcW w:type="dxa" w:w="1400"/>
            <w:tcBorders>
              <w:top w:val="single" w:color="D0D5E0" w:sz="1"/>
              <w:left w:val="single" w:color="D0D5E0" w:sz="1"/>
              <w:bottom w:val="single" w:color="D0D5E0" w:sz="1"/>
              <w:right w:val="single" w:color="D0D5E0" w:sz="1"/>
            </w:tcBorders>
            <w:shd w:fill="1B2A4A" w:val="clear"/>
            <w:tcMar>
              <w:top w:type="dxa" w:w="120"/>
              <w:left w:type="dxa" w:w="160"/>
              <w:bottom w:type="dxa" w:w="120"/>
              <w:right w:type="dxa" w:w="160"/>
            </w:tcMar>
            <w:vAlign w:val="center"/>
          </w:tcPr>
          <w:p>
            <w:pPr>
              <w:jc w:val="center"/>
            </w:pPr>
            <w:r>
              <w:rPr>
                <w:rFonts w:ascii="Arial" w:cs="Arial" w:eastAsia="Arial" w:hAnsi="Arial"/>
                <w:b/>
                <w:bCs/>
                <w:color w:val="C8902A"/>
                <w:sz w:val="28"/>
                <w:szCs w:val="28"/>
              </w:rPr>
              <w:t xml:space="preserve">05</w:t>
            </w:r>
          </w:p>
        </w:tc>
        <w:tc>
          <w:tcPr>
            <w:tcW w:type="dxa" w:w="8680"/>
            <w:tcBorders>
              <w:top w:val="single" w:color="D0D5E0" w:sz="1"/>
              <w:left w:val="single" w:color="D0D5E0" w:sz="1"/>
              <w:bottom w:val="single" w:color="D0D5E0" w:sz="1"/>
              <w:right w:val="single" w:color="D0D5E0" w:sz="1"/>
            </w:tcBorders>
            <w:shd w:fill="F5F7FA" w:val="clear"/>
            <w:tcMar>
              <w:top w:type="dxa" w:w="120"/>
              <w:left w:type="dxa" w:w="180"/>
              <w:bottom w:type="dxa" w:w="120"/>
              <w:right w:type="dxa" w:w="160"/>
            </w:tcMar>
          </w:tcPr>
          <w:p>
            <w:pPr>
              <w:spacing w:before="0" w:after="60"/>
            </w:pPr>
            <w:r>
              <w:rPr>
                <w:rFonts w:ascii="Arial" w:cs="Arial" w:eastAsia="Arial" w:hAnsi="Arial"/>
                <w:b/>
                <w:bCs/>
                <w:color w:val="1B2A4A"/>
                <w:sz w:val="21"/>
                <w:szCs w:val="21"/>
              </w:rPr>
              <w:t xml:space="preserve">Commercial Accountability</w:t>
            </w:r>
          </w:p>
          <w:p>
            <w:pPr>
              <w:spacing w:before="0" w:after="0"/>
            </w:pPr>
            <w:r>
              <w:rPr>
                <w:rFonts w:ascii="Arial" w:cs="Arial" w:eastAsia="Arial" w:hAnsi="Arial"/>
                <w:color w:val="4A5568"/>
                <w:sz w:val="20"/>
                <w:szCs w:val="20"/>
              </w:rPr>
              <w:t xml:space="preserve">Improve accountability across sales, supply chain, and marketing by providing shared, auditable performance metrics in a single source of truth.</w:t>
            </w:r>
          </w:p>
        </w:tc>
      </w:tr>
      <w:tr>
        <w:tc>
          <w:tcPr>
            <w:tcW w:type="dxa" w:w="1400"/>
            <w:tcBorders>
              <w:top w:val="single" w:color="D0D5E0" w:sz="1"/>
              <w:left w:val="single" w:color="D0D5E0" w:sz="1"/>
              <w:bottom w:val="single" w:color="D0D5E0" w:sz="1"/>
              <w:right w:val="single" w:color="D0D5E0" w:sz="1"/>
            </w:tcBorders>
            <w:shd w:fill="253555" w:val="clear"/>
            <w:tcMar>
              <w:top w:type="dxa" w:w="120"/>
              <w:left w:type="dxa" w:w="160"/>
              <w:bottom w:type="dxa" w:w="120"/>
              <w:right w:type="dxa" w:w="160"/>
            </w:tcMar>
            <w:vAlign w:val="center"/>
          </w:tcPr>
          <w:p>
            <w:pPr>
              <w:jc w:val="center"/>
            </w:pPr>
            <w:r>
              <w:rPr>
                <w:rFonts w:ascii="Arial" w:cs="Arial" w:eastAsia="Arial" w:hAnsi="Arial"/>
                <w:b/>
                <w:bCs/>
                <w:color w:val="C8902A"/>
                <w:sz w:val="28"/>
                <w:szCs w:val="28"/>
              </w:rPr>
              <w:t xml:space="preserve">06</w:t>
            </w:r>
          </w:p>
        </w:tc>
        <w:tc>
          <w:tcPr>
            <w:tcW w:type="dxa" w:w="8680"/>
            <w:tcBorders>
              <w:top w:val="single" w:color="D0D5E0" w:sz="1"/>
              <w:left w:val="single" w:color="D0D5E0" w:sz="1"/>
              <w:bottom w:val="single" w:color="D0D5E0" w:sz="1"/>
              <w:right w:val="single" w:color="D0D5E0" w:sz="1"/>
            </w:tcBorders>
            <w:shd w:fill="FFFFFF" w:val="clear"/>
            <w:tcMar>
              <w:top w:type="dxa" w:w="120"/>
              <w:left w:type="dxa" w:w="180"/>
              <w:bottom w:type="dxa" w:w="120"/>
              <w:right w:type="dxa" w:w="160"/>
            </w:tcMar>
          </w:tcPr>
          <w:p>
            <w:pPr>
              <w:spacing w:before="0" w:after="60"/>
            </w:pPr>
            <w:r>
              <w:rPr>
                <w:rFonts w:ascii="Arial" w:cs="Arial" w:eastAsia="Arial" w:hAnsi="Arial"/>
                <w:b/>
                <w:bCs/>
                <w:color w:val="1B2A4A"/>
                <w:sz w:val="21"/>
                <w:szCs w:val="21"/>
              </w:rPr>
              <w:t xml:space="preserve">Automated Daily Refresh</w:t>
            </w:r>
          </w:p>
          <w:p>
            <w:pPr>
              <w:spacing w:before="0" w:after="0"/>
            </w:pPr>
            <w:r>
              <w:rPr>
                <w:rFonts w:ascii="Arial" w:cs="Arial" w:eastAsia="Arial" w:hAnsi="Arial"/>
                <w:color w:val="4A5568"/>
                <w:sz w:val="20"/>
                <w:szCs w:val="20"/>
              </w:rPr>
              <w:t xml:space="preserve">Eliminate manual report updates by automating the data pipeline so stakeholders always access current data without any intervention.</w:t>
            </w:r>
          </w:p>
        </w:tc>
      </w:tr>
    </w:tbl>
    <w:p>
      <w:pPr>
        <w:spacing w:before="0" w:after="200"/>
      </w:pPr>
    </w:p>
    <w:p>
      <w:pPr>
        <w:pBdr>
          <w:bottom w:val="single" w:color="C8902A" w:sz="3" w:space="4"/>
        </w:pBdr>
        <w:spacing w:before="400" w:after="160"/>
      </w:pPr>
      <w:r>
        <w:rPr>
          <w:rFonts w:ascii="Arial" w:cs="Arial" w:eastAsia="Arial" w:hAnsi="Arial"/>
          <w:b/>
          <w:bCs/>
          <w:color w:val="1B2A4A"/>
          <w:sz w:val="36"/>
          <w:szCs w:val="36"/>
        </w:rPr>
        <w:t xml:space="preserve">3.  Project Scope</w:t>
      </w:r>
    </w:p>
    <w:p>
      <w:pPr>
        <w:spacing w:before="0" w:after="80"/>
      </w:pPr>
    </w:p>
    <w:p>
      <w:pPr>
        <w:spacing w:before="0" w:after="120"/>
        <w:jc w:val="both"/>
      </w:pPr>
      <w:r>
        <w:rPr>
          <w:rFonts w:ascii="Arial" w:cs="Arial" w:eastAsia="Arial" w:hAnsi="Arial"/>
          <w:color w:val="4A5568"/>
          <w:sz w:val="22"/>
          <w:szCs w:val="22"/>
        </w:rPr>
        <w:t xml:space="preserve">The following areas are included within the scope of this Power BI report:</w:t>
      </w:r>
    </w:p>
    <w:p>
      <w:pPr>
        <w:spacing w:before="0" w:after="120"/>
      </w:pPr>
    </w:p>
    <w:p>
      <w:pPr>
        <w:pStyle w:val="ListParagraph"/>
        <w:numPr>
          <w:ilvl w:val="0"/>
          <w:numId w:val="2"/>
        </w:numPr>
        <w:spacing w:before="40" w:after="60"/>
      </w:pPr>
      <w:r>
        <w:rPr>
          <w:rFonts w:ascii="Arial" w:cs="Arial" w:eastAsia="Arial" w:hAnsi="Arial"/>
          <w:color w:val="1A1F2E"/>
          <w:sz w:val="22"/>
          <w:szCs w:val="22"/>
        </w:rPr>
        <w:t xml:space="preserve">Sales trend analysis covering the period 2022 to 2024</w:t>
      </w:r>
    </w:p>
    <w:p>
      <w:pPr>
        <w:pStyle w:val="ListParagraph"/>
        <w:numPr>
          <w:ilvl w:val="0"/>
          <w:numId w:val="2"/>
        </w:numPr>
        <w:spacing w:before="40" w:after="60"/>
      </w:pPr>
      <w:r>
        <w:rPr>
          <w:rFonts w:ascii="Arial" w:cs="Arial" w:eastAsia="Arial" w:hAnsi="Arial"/>
          <w:color w:val="1A1F2E"/>
          <w:sz w:val="22"/>
          <w:szCs w:val="22"/>
        </w:rPr>
        <w:t xml:space="preserve">Regional and zone-level sales performance breakdown</w:t>
      </w:r>
    </w:p>
    <w:p>
      <w:pPr>
        <w:pStyle w:val="ListParagraph"/>
        <w:numPr>
          <w:ilvl w:val="0"/>
          <w:numId w:val="2"/>
        </w:numPr>
        <w:spacing w:before="40" w:after="60"/>
      </w:pPr>
      <w:r>
        <w:rPr>
          <w:rFonts w:ascii="Arial" w:cs="Arial" w:eastAsia="Arial" w:hAnsi="Arial"/>
          <w:color w:val="1A1F2E"/>
          <w:sz w:val="22"/>
          <w:szCs w:val="22"/>
        </w:rPr>
        <w:t xml:space="preserve">Drug and product-level revenue contribution analysis</w:t>
      </w:r>
    </w:p>
    <w:p>
      <w:pPr>
        <w:pStyle w:val="ListParagraph"/>
        <w:numPr>
          <w:ilvl w:val="0"/>
          <w:numId w:val="2"/>
        </w:numPr>
        <w:spacing w:before="40" w:after="60"/>
      </w:pPr>
      <w:r>
        <w:rPr>
          <w:rFonts w:ascii="Arial" w:cs="Arial" w:eastAsia="Arial" w:hAnsi="Arial"/>
          <w:color w:val="1A1F2E"/>
          <w:sz w:val="22"/>
          <w:szCs w:val="22"/>
        </w:rPr>
        <w:t xml:space="preserve">Supplier performance metrics including on-time delivery rates</w:t>
      </w:r>
    </w:p>
    <w:p>
      <w:pPr>
        <w:pStyle w:val="ListParagraph"/>
        <w:numPr>
          <w:ilvl w:val="0"/>
          <w:numId w:val="2"/>
        </w:numPr>
        <w:spacing w:before="40" w:after="60"/>
      </w:pPr>
      <w:r>
        <w:rPr>
          <w:rFonts w:ascii="Arial" w:cs="Arial" w:eastAsia="Arial" w:hAnsi="Arial"/>
          <w:color w:val="1A1F2E"/>
          <w:sz w:val="22"/>
          <w:szCs w:val="22"/>
        </w:rPr>
        <w:t xml:space="preserve">Revenue forecasting visuals using historical trend data</w:t>
      </w:r>
    </w:p>
    <w:p>
      <w:pPr>
        <w:pStyle w:val="ListParagraph"/>
        <w:numPr>
          <w:ilvl w:val="0"/>
          <w:numId w:val="2"/>
        </w:numPr>
        <w:spacing w:before="40" w:after="60"/>
      </w:pPr>
      <w:r>
        <w:rPr>
          <w:rFonts w:ascii="Arial" w:cs="Arial" w:eastAsia="Arial" w:hAnsi="Arial"/>
          <w:color w:val="1A1F2E"/>
          <w:sz w:val="22"/>
          <w:szCs w:val="22"/>
        </w:rPr>
        <w:t xml:space="preserve">Customer segment analysis — Hospital, Retail, and Pharmacy</w:t>
      </w:r>
    </w:p>
    <w:p>
      <w:pPr>
        <w:pStyle w:val="ListParagraph"/>
        <w:numPr>
          <w:ilvl w:val="0"/>
          <w:numId w:val="2"/>
        </w:numPr>
        <w:spacing w:before="40" w:after="60"/>
      </w:pPr>
      <w:r>
        <w:rPr>
          <w:rFonts w:ascii="Arial" w:cs="Arial" w:eastAsia="Arial" w:hAnsi="Arial"/>
          <w:color w:val="1A1F2E"/>
          <w:sz w:val="22"/>
          <w:szCs w:val="22"/>
        </w:rPr>
        <w:t xml:space="preserve">Sales channel breakdown — Online, Direct, and Wholesale</w:t>
      </w:r>
    </w:p>
    <w:p>
      <w:pPr>
        <w:pStyle w:val="ListParagraph"/>
        <w:numPr>
          <w:ilvl w:val="0"/>
          <w:numId w:val="2"/>
        </w:numPr>
        <w:spacing w:before="40" w:after="60"/>
      </w:pPr>
      <w:r>
        <w:rPr>
          <w:rFonts w:ascii="Arial" w:cs="Arial" w:eastAsia="Arial" w:hAnsi="Arial"/>
          <w:color w:val="1A1F2E"/>
          <w:sz w:val="22"/>
          <w:szCs w:val="22"/>
        </w:rPr>
        <w:t xml:space="preserve">Product returns tracking and return reason categorisation</w:t>
      </w:r>
    </w:p>
    <w:p>
      <w:pPr>
        <w:pStyle w:val="ListParagraph"/>
        <w:numPr>
          <w:ilvl w:val="0"/>
          <w:numId w:val="2"/>
        </w:numPr>
        <w:spacing w:before="40" w:after="60"/>
      </w:pPr>
      <w:r>
        <w:rPr>
          <w:rFonts w:ascii="Arial" w:cs="Arial" w:eastAsia="Arial" w:hAnsi="Arial"/>
          <w:color w:val="1A1F2E"/>
          <w:sz w:val="22"/>
          <w:szCs w:val="22"/>
        </w:rPr>
        <w:t xml:space="preserve">Inventory stock level visibility per drug and supplier</w:t>
      </w:r>
    </w:p>
    <w:p>
      <w:pPr>
        <w:pStyle w:val="ListParagraph"/>
        <w:numPr>
          <w:ilvl w:val="0"/>
          <w:numId w:val="2"/>
        </w:numPr>
        <w:spacing w:before="40" w:after="60"/>
      </w:pPr>
      <w:r>
        <w:rPr>
          <w:rFonts w:ascii="Arial" w:cs="Arial" w:eastAsia="Arial" w:hAnsi="Arial"/>
          <w:color w:val="1A1F2E"/>
          <w:sz w:val="22"/>
          <w:szCs w:val="22"/>
        </w:rPr>
        <w:t xml:space="preserve">Automated daily refresh pipeline via Power BI Service</w:t>
      </w:r>
    </w:p>
    <w:p>
      <w:pPr>
        <w:spacing w:before="0" w:after="200"/>
      </w:pPr>
    </w:p>
    <w:p>
      <w:pPr>
        <w:pBdr>
          <w:bottom w:val="single" w:color="C8902A" w:sz="3" w:space="4"/>
        </w:pBdr>
        <w:spacing w:before="400" w:after="160"/>
      </w:pPr>
      <w:r>
        <w:rPr>
          <w:rFonts w:ascii="Arial" w:cs="Arial" w:eastAsia="Arial" w:hAnsi="Arial"/>
          <w:b/>
          <w:bCs/>
          <w:color w:val="1B2A4A"/>
          <w:sz w:val="36"/>
          <w:szCs w:val="36"/>
        </w:rPr>
        <w:t xml:space="preserve">4.  Target Audience</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8902A" w:sz="1"/>
              <w:left w:val="single" w:color="C8902A" w:sz="1"/>
              <w:bottom w:val="single" w:color="C8902A" w:sz="1"/>
              <w:right w:val="single" w:color="C8902A" w:sz="1"/>
            </w:tcBorders>
            <w:shd w:fill="FDF6E8" w:val="clear"/>
            <w:tcMar>
              <w:top w:type="dxa" w:w="200"/>
              <w:left w:type="dxa" w:w="200"/>
              <w:bottom w:type="dxa" w:w="200"/>
              <w:right w:type="dxa" w:w="200"/>
            </w:tcMar>
          </w:tcPr>
          <w:p>
            <w:pPr>
              <w:spacing w:before="0" w:after="100"/>
            </w:pPr>
            <w:r>
              <w:rPr>
                <w:rFonts w:ascii="Arial" w:cs="Arial" w:eastAsia="Arial" w:hAnsi="Arial"/>
                <w:b/>
                <w:bCs/>
                <w:color w:val="1B2A4A"/>
                <w:sz w:val="22"/>
                <w:szCs w:val="22"/>
              </w:rPr>
              <w:t xml:space="preserve">Sales Managers</w:t>
            </w:r>
          </w:p>
          <w:p>
            <w:pPr>
              <w:spacing w:before="0" w:after="0"/>
            </w:pPr>
            <w:r>
              <w:rPr>
                <w:rFonts w:ascii="Arial" w:cs="Arial" w:eastAsia="Arial" w:hAnsi="Arial"/>
                <w:color w:val="4A5568"/>
                <w:sz w:val="20"/>
                <w:szCs w:val="20"/>
              </w:rPr>
              <w:t xml:space="preserve">Monitor rep performance, regional quotas, and pipeline health. Use drill-through views to investigate underperforming territories in detail.</w:t>
            </w:r>
          </w:p>
        </w:tc>
        <w:tc>
          <w:tcPr>
            <w:tcW w:type="dxa" w:w="3360"/>
            <w:tcBorders>
              <w:top w:val="single" w:color="C8902A" w:sz="1"/>
              <w:left w:val="single" w:color="C8902A" w:sz="1"/>
              <w:bottom w:val="single" w:color="C8902A" w:sz="1"/>
              <w:right w:val="single" w:color="C8902A" w:sz="1"/>
            </w:tcBorders>
            <w:shd w:fill="FDF6E8" w:val="clear"/>
            <w:tcMar>
              <w:top w:type="dxa" w:w="200"/>
              <w:left w:type="dxa" w:w="200"/>
              <w:bottom w:type="dxa" w:w="200"/>
              <w:right w:type="dxa" w:w="200"/>
            </w:tcMar>
          </w:tcPr>
          <w:p>
            <w:pPr>
              <w:spacing w:before="0" w:after="100"/>
            </w:pPr>
            <w:r>
              <w:rPr>
                <w:rFonts w:ascii="Arial" w:cs="Arial" w:eastAsia="Arial" w:hAnsi="Arial"/>
                <w:b/>
                <w:bCs/>
                <w:color w:val="1B2A4A"/>
                <w:sz w:val="22"/>
                <w:szCs w:val="22"/>
              </w:rPr>
              <w:t xml:space="preserve">Marketing Team</w:t>
            </w:r>
          </w:p>
          <w:p>
            <w:pPr>
              <w:spacing w:before="0" w:after="0"/>
            </w:pPr>
            <w:r>
              <w:rPr>
                <w:rFonts w:ascii="Arial" w:cs="Arial" w:eastAsia="Arial" w:hAnsi="Arial"/>
                <w:color w:val="4A5568"/>
                <w:sz w:val="20"/>
                <w:szCs w:val="20"/>
              </w:rPr>
              <w:t xml:space="preserve">Analyse drug-level sales contribution, customer segment behaviour, and channel effectiveness to refine campaign targeting and spend.</w:t>
            </w:r>
          </w:p>
        </w:tc>
        <w:tc>
          <w:tcPr>
            <w:tcW w:type="dxa" w:w="3360"/>
            <w:tcBorders>
              <w:top w:val="single" w:color="C8902A" w:sz="1"/>
              <w:left w:val="single" w:color="C8902A" w:sz="1"/>
              <w:bottom w:val="single" w:color="C8902A" w:sz="1"/>
              <w:right w:val="single" w:color="C8902A" w:sz="1"/>
            </w:tcBorders>
            <w:shd w:fill="FDF6E8" w:val="clear"/>
            <w:tcMar>
              <w:top w:type="dxa" w:w="200"/>
              <w:left w:type="dxa" w:w="200"/>
              <w:bottom w:type="dxa" w:w="200"/>
              <w:right w:type="dxa" w:w="200"/>
            </w:tcMar>
          </w:tcPr>
          <w:p>
            <w:pPr>
              <w:spacing w:before="0" w:after="100"/>
            </w:pPr>
            <w:r>
              <w:rPr>
                <w:rFonts w:ascii="Arial" w:cs="Arial" w:eastAsia="Arial" w:hAnsi="Arial"/>
                <w:b/>
                <w:bCs/>
                <w:color w:val="1B2A4A"/>
                <w:sz w:val="22"/>
                <w:szCs w:val="22"/>
              </w:rPr>
              <w:t xml:space="preserve">Supply Chain Managers</w:t>
            </w:r>
          </w:p>
          <w:p>
            <w:pPr>
              <w:spacing w:before="0" w:after="0"/>
            </w:pPr>
            <w:r>
              <w:rPr>
                <w:rFonts w:ascii="Arial" w:cs="Arial" w:eastAsia="Arial" w:hAnsi="Arial"/>
                <w:color w:val="4A5568"/>
                <w:sz w:val="20"/>
                <w:szCs w:val="20"/>
              </w:rPr>
              <w:t xml:space="preserve">Track supplier delivery rates, stock levels, and restock dates to proactively manage inventory risk and vendor relationships.</w:t>
            </w:r>
          </w:p>
        </w:tc>
      </w:tr>
    </w:tbl>
    <w:p>
      <w:pPr>
        <w:spacing w:before="0" w:after="200"/>
      </w:pPr>
    </w:p>
    <w:p>
      <w:pPr>
        <w:pBdr>
          <w:bottom w:val="single" w:color="C8902A" w:sz="3" w:space="4"/>
        </w:pBdr>
        <w:spacing w:before="400" w:after="160"/>
      </w:pPr>
      <w:r>
        <w:rPr>
          <w:rFonts w:ascii="Arial" w:cs="Arial" w:eastAsia="Arial" w:hAnsi="Arial"/>
          <w:b/>
          <w:bCs/>
          <w:color w:val="1B2A4A"/>
          <w:sz w:val="36"/>
          <w:szCs w:val="36"/>
        </w:rPr>
        <w:t xml:space="preserve">5.  Data Model</w:t>
      </w:r>
    </w:p>
    <w:p>
      <w:pPr>
        <w:spacing w:before="0" w:after="80"/>
      </w:pPr>
    </w:p>
    <w:p>
      <w:pPr>
        <w:spacing w:before="0" w:after="120"/>
        <w:jc w:val="both"/>
      </w:pPr>
      <w:r>
        <w:rPr>
          <w:rFonts w:ascii="Arial" w:cs="Arial" w:eastAsia="Arial" w:hAnsi="Arial"/>
          <w:color w:val="4A5568"/>
          <w:sz w:val="22"/>
          <w:szCs w:val="22"/>
        </w:rPr>
        <w:t xml:space="preserve">The report is built on a star schema comprising one Fact table and five Dimension tables. All tables are linked via foreign key relationships as described below.</w:t>
      </w:r>
    </w:p>
    <w:p>
      <w:pPr>
        <w:spacing w:before="0" w:after="160"/>
      </w:pPr>
    </w:p>
    <w:p>
      <w:pPr>
        <w:spacing w:before="300" w:after="120"/>
      </w:pPr>
      <w:r>
        <w:rPr>
          <w:rFonts w:ascii="Arial" w:cs="Arial" w:eastAsia="Arial" w:hAnsi="Arial"/>
          <w:b/>
          <w:bCs/>
          <w:color w:val="1B2A4A"/>
          <w:sz w:val="26"/>
          <w:szCs w:val="26"/>
        </w:rPr>
        <w:t xml:space="preserve">5.1  Pharma_Sales_2022_2024  (Fact Table)</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88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 Name</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 Type</w:t>
            </w:r>
          </w:p>
        </w:tc>
        <w:tc>
          <w:tcPr>
            <w:tcW w:type="dxa" w:w="58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SaleID</w:t>
            </w:r>
          </w:p>
        </w:tc>
        <w:tc>
          <w:tcPr>
            <w:tcW w:type="dxa" w:w="1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PK · TEXT</w:t>
            </w:r>
          </w:p>
        </w:tc>
        <w:tc>
          <w:tcPr>
            <w:tcW w:type="dxa" w:w="588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Unique identifier for each sales transaction</w:t>
            </w:r>
          </w:p>
        </w:tc>
      </w:tr>
      <w:tr>
        <w:tc>
          <w:tcPr>
            <w:tcW w:type="dxa" w:w="2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bCs/>
                <w:color w:val="1B2A4A"/>
                <w:sz w:val="20"/>
                <w:szCs w:val="20"/>
              </w:rPr>
              <w:t xml:space="preserve">DrugID</w:t>
            </w:r>
          </w:p>
        </w:tc>
        <w:tc>
          <w:tcPr>
            <w:tcW w:type="dxa" w:w="1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FK · TEXT</w:t>
            </w:r>
          </w:p>
        </w:tc>
        <w:tc>
          <w:tcPr>
            <w:tcW w:type="dxa" w:w="588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Foreign key linking to the Drugs dimension table</w:t>
            </w:r>
          </w:p>
        </w:tc>
      </w:tr>
      <w:tr>
        <w:tc>
          <w:tcPr>
            <w:tcW w:type="dxa" w:w="2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SalesRepID</w:t>
            </w:r>
          </w:p>
        </w:tc>
        <w:tc>
          <w:tcPr>
            <w:tcW w:type="dxa" w:w="1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FK · TEXT</w:t>
            </w:r>
          </w:p>
        </w:tc>
        <w:tc>
          <w:tcPr>
            <w:tcW w:type="dxa" w:w="588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ID of the sales representative handling the transaction</w:t>
            </w:r>
          </w:p>
        </w:tc>
      </w:tr>
      <w:tr>
        <w:tc>
          <w:tcPr>
            <w:tcW w:type="dxa" w:w="2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bCs/>
                <w:color w:val="1B2A4A"/>
                <w:sz w:val="20"/>
                <w:szCs w:val="20"/>
              </w:rPr>
              <w:t xml:space="preserve">DistributorID</w:t>
            </w:r>
          </w:p>
        </w:tc>
        <w:tc>
          <w:tcPr>
            <w:tcW w:type="dxa" w:w="1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FK · TEXT</w:t>
            </w:r>
          </w:p>
        </w:tc>
        <w:tc>
          <w:tcPr>
            <w:tcW w:type="dxa" w:w="588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Identifier for the distributor involved in the sale</w:t>
            </w:r>
          </w:p>
        </w:tc>
      </w:tr>
      <w:tr>
        <w:tc>
          <w:tcPr>
            <w:tcW w:type="dxa" w:w="2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Region</w:t>
            </w:r>
          </w:p>
        </w:tc>
        <w:tc>
          <w:tcPr>
            <w:tcW w:type="dxa" w:w="1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TEXT</w:t>
            </w:r>
          </w:p>
        </w:tc>
        <w:tc>
          <w:tcPr>
            <w:tcW w:type="dxa" w:w="588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Geographic area where the sale was made</w:t>
            </w:r>
          </w:p>
        </w:tc>
      </w:tr>
      <w:tr>
        <w:tc>
          <w:tcPr>
            <w:tcW w:type="dxa" w:w="2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bCs/>
                <w:color w:val="1B2A4A"/>
                <w:sz w:val="20"/>
                <w:szCs w:val="20"/>
              </w:rPr>
              <w:t xml:space="preserve">CustomerType</w:t>
            </w:r>
          </w:p>
        </w:tc>
        <w:tc>
          <w:tcPr>
            <w:tcW w:type="dxa" w:w="1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TEXT</w:t>
            </w:r>
          </w:p>
        </w:tc>
        <w:tc>
          <w:tcPr>
            <w:tcW w:type="dxa" w:w="588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Type of customer — Hospital, Retail, or Pharmacy</w:t>
            </w:r>
          </w:p>
        </w:tc>
      </w:tr>
      <w:tr>
        <w:tc>
          <w:tcPr>
            <w:tcW w:type="dxa" w:w="2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SalesChannel</w:t>
            </w:r>
          </w:p>
        </w:tc>
        <w:tc>
          <w:tcPr>
            <w:tcW w:type="dxa" w:w="1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TEXT</w:t>
            </w:r>
          </w:p>
        </w:tc>
        <w:tc>
          <w:tcPr>
            <w:tcW w:type="dxa" w:w="588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Mode of sale — Online, Direct, or Wholesale</w:t>
            </w:r>
          </w:p>
        </w:tc>
      </w:tr>
      <w:tr>
        <w:tc>
          <w:tcPr>
            <w:tcW w:type="dxa" w:w="2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bCs/>
                <w:color w:val="1B2A4A"/>
                <w:sz w:val="20"/>
                <w:szCs w:val="20"/>
              </w:rPr>
              <w:t xml:space="preserve">UnitsSold</w:t>
            </w:r>
          </w:p>
        </w:tc>
        <w:tc>
          <w:tcPr>
            <w:tcW w:type="dxa" w:w="1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INTEGER</w:t>
            </w:r>
          </w:p>
        </w:tc>
        <w:tc>
          <w:tcPr>
            <w:tcW w:type="dxa" w:w="588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Quantity of drug units sold in the transaction</w:t>
            </w:r>
          </w:p>
        </w:tc>
      </w:tr>
      <w:tr>
        <w:tc>
          <w:tcPr>
            <w:tcW w:type="dxa" w:w="2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UnitPrice</w:t>
            </w:r>
          </w:p>
        </w:tc>
        <w:tc>
          <w:tcPr>
            <w:tcW w:type="dxa" w:w="1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DECIMAL</w:t>
            </w:r>
          </w:p>
        </w:tc>
        <w:tc>
          <w:tcPr>
            <w:tcW w:type="dxa" w:w="588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Selling price per unit of the drug</w:t>
            </w:r>
          </w:p>
        </w:tc>
      </w:tr>
      <w:tr>
        <w:tc>
          <w:tcPr>
            <w:tcW w:type="dxa" w:w="2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bCs/>
                <w:color w:val="1B2A4A"/>
                <w:sz w:val="20"/>
                <w:szCs w:val="20"/>
              </w:rPr>
              <w:t xml:space="preserve">Discount</w:t>
            </w:r>
          </w:p>
        </w:tc>
        <w:tc>
          <w:tcPr>
            <w:tcW w:type="dxa" w:w="1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DECIMAL</w:t>
            </w:r>
          </w:p>
        </w:tc>
        <w:tc>
          <w:tcPr>
            <w:tcW w:type="dxa" w:w="588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Discount applied to the transaction (% or value)</w:t>
            </w:r>
          </w:p>
        </w:tc>
      </w:tr>
      <w:tr>
        <w:tc>
          <w:tcPr>
            <w:tcW w:type="dxa" w:w="2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SaleDate</w:t>
            </w:r>
          </w:p>
        </w:tc>
        <w:tc>
          <w:tcPr>
            <w:tcW w:type="dxa" w:w="1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DATE</w:t>
            </w:r>
          </w:p>
        </w:tc>
        <w:tc>
          <w:tcPr>
            <w:tcW w:type="dxa" w:w="588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Date the sale transaction occurred</w:t>
            </w:r>
          </w:p>
        </w:tc>
      </w:tr>
      <w:tr>
        <w:tc>
          <w:tcPr>
            <w:tcW w:type="dxa" w:w="2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bCs/>
                <w:color w:val="1B2A4A"/>
                <w:sz w:val="20"/>
                <w:szCs w:val="20"/>
              </w:rPr>
              <w:t xml:space="preserve">InvoiceNumber</w:t>
            </w:r>
          </w:p>
        </w:tc>
        <w:tc>
          <w:tcPr>
            <w:tcW w:type="dxa" w:w="1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TEXT</w:t>
            </w:r>
          </w:p>
        </w:tc>
        <w:tc>
          <w:tcPr>
            <w:tcW w:type="dxa" w:w="588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Reference number of the invoice issued</w:t>
            </w:r>
          </w:p>
        </w:tc>
      </w:tr>
      <w:tr>
        <w:tc>
          <w:tcPr>
            <w:tcW w:type="dxa" w:w="2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PaymentMode</w:t>
            </w:r>
          </w:p>
        </w:tc>
        <w:tc>
          <w:tcPr>
            <w:tcW w:type="dxa" w:w="1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TEXT</w:t>
            </w:r>
          </w:p>
        </w:tc>
        <w:tc>
          <w:tcPr>
            <w:tcW w:type="dxa" w:w="588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Method of payment — Cash, Credit, or Online</w:t>
            </w:r>
          </w:p>
        </w:tc>
      </w:tr>
      <w:tr>
        <w:tc>
          <w:tcPr>
            <w:tcW w:type="dxa" w:w="2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bCs/>
                <w:color w:val="1B2A4A"/>
                <w:sz w:val="20"/>
                <w:szCs w:val="20"/>
              </w:rPr>
              <w:t xml:space="preserve">Prescribed</w:t>
            </w:r>
          </w:p>
        </w:tc>
        <w:tc>
          <w:tcPr>
            <w:tcW w:type="dxa" w:w="1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BOOLEAN</w:t>
            </w:r>
          </w:p>
        </w:tc>
        <w:tc>
          <w:tcPr>
            <w:tcW w:type="dxa" w:w="588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Whether the drug was sold with a prescription (Yes/No)</w:t>
            </w:r>
          </w:p>
        </w:tc>
      </w:tr>
      <w:tr>
        <w:tc>
          <w:tcPr>
            <w:tcW w:type="dxa" w:w="2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ReturnedUnits</w:t>
            </w:r>
          </w:p>
        </w:tc>
        <w:tc>
          <w:tcPr>
            <w:tcW w:type="dxa" w:w="1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INTEGER</w:t>
            </w:r>
          </w:p>
        </w:tc>
        <w:tc>
          <w:tcPr>
            <w:tcW w:type="dxa" w:w="588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Number of units returned by the customer</w:t>
            </w:r>
          </w:p>
        </w:tc>
      </w:tr>
      <w:tr>
        <w:tc>
          <w:tcPr>
            <w:tcW w:type="dxa" w:w="2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bCs/>
                <w:color w:val="1B2A4A"/>
                <w:sz w:val="20"/>
                <w:szCs w:val="20"/>
              </w:rPr>
              <w:t xml:space="preserve">ReasonForReturn</w:t>
            </w:r>
          </w:p>
        </w:tc>
        <w:tc>
          <w:tcPr>
            <w:tcW w:type="dxa" w:w="1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TEXT</w:t>
            </w:r>
          </w:p>
        </w:tc>
        <w:tc>
          <w:tcPr>
            <w:tcW w:type="dxa" w:w="588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Explanation for the product return (damaged, expired, etc.)</w:t>
            </w:r>
          </w:p>
        </w:tc>
      </w:tr>
    </w:tbl>
    <w:p>
      <w:pPr>
        <w:spacing w:before="0" w:after="200"/>
      </w:pPr>
    </w:p>
    <w:p>
      <w:pPr>
        <w:spacing w:before="300" w:after="120"/>
      </w:pPr>
      <w:r>
        <w:rPr>
          <w:rFonts w:ascii="Arial" w:cs="Arial" w:eastAsia="Arial" w:hAnsi="Arial"/>
          <w:b/>
          <w:bCs/>
          <w:color w:val="1B2A4A"/>
          <w:sz w:val="26"/>
          <w:szCs w:val="26"/>
        </w:rPr>
        <w:t xml:space="preserve">5.2  Dimension Tables</w:t>
      </w:r>
    </w:p>
    <w:p>
      <w:pPr>
        <w:spacing w:before="0" w:after="80"/>
      </w:pPr>
    </w:p>
    <w:p>
      <w:pPr>
        <w:spacing w:before="120" w:after="80"/>
      </w:pPr>
      <w:r>
        <w:rPr>
          <w:rFonts w:ascii="Arial" w:cs="Arial" w:eastAsia="Arial" w:hAnsi="Arial"/>
          <w:b/>
          <w:bCs/>
          <w:color w:val="1A7A6E"/>
          <w:sz w:val="22"/>
          <w:szCs w:val="22"/>
        </w:rPr>
        <w:t xml:space="preserve">LinkedDrugs  (Drug Catalogue)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88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 Name</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 Type</w:t>
            </w:r>
          </w:p>
        </w:tc>
        <w:tc>
          <w:tcPr>
            <w:tcW w:type="dxa" w:w="58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DrugID</w:t>
            </w:r>
          </w:p>
        </w:tc>
        <w:tc>
          <w:tcPr>
            <w:tcW w:type="dxa" w:w="1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PK · TEXT</w:t>
            </w:r>
          </w:p>
        </w:tc>
        <w:tc>
          <w:tcPr>
            <w:tcW w:type="dxa" w:w="588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Unique code assigned to each drug</w:t>
            </w:r>
          </w:p>
        </w:tc>
      </w:tr>
      <w:tr>
        <w:tc>
          <w:tcPr>
            <w:tcW w:type="dxa" w:w="2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bCs/>
                <w:color w:val="1B2A4A"/>
                <w:sz w:val="20"/>
                <w:szCs w:val="20"/>
              </w:rPr>
              <w:t xml:space="preserve">DrugName</w:t>
            </w:r>
          </w:p>
        </w:tc>
        <w:tc>
          <w:tcPr>
            <w:tcW w:type="dxa" w:w="1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TEXT</w:t>
            </w:r>
          </w:p>
        </w:tc>
        <w:tc>
          <w:tcPr>
            <w:tcW w:type="dxa" w:w="588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Generic or brand name of the drug</w:t>
            </w:r>
          </w:p>
        </w:tc>
      </w:tr>
      <w:tr>
        <w:tc>
          <w:tcPr>
            <w:tcW w:type="dxa" w:w="2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Category</w:t>
            </w:r>
          </w:p>
        </w:tc>
        <w:tc>
          <w:tcPr>
            <w:tcW w:type="dxa" w:w="1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TEXT</w:t>
            </w:r>
          </w:p>
        </w:tc>
        <w:tc>
          <w:tcPr>
            <w:tcW w:type="dxa" w:w="588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Therapeutic class — e.g., Antifungal, Antiviral</w:t>
            </w:r>
          </w:p>
        </w:tc>
      </w:tr>
      <w:tr>
        <w:tc>
          <w:tcPr>
            <w:tcW w:type="dxa" w:w="2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bCs/>
                <w:color w:val="1B2A4A"/>
                <w:sz w:val="20"/>
                <w:szCs w:val="20"/>
              </w:rPr>
              <w:t xml:space="preserve">ManufacturerID</w:t>
            </w:r>
          </w:p>
        </w:tc>
        <w:tc>
          <w:tcPr>
            <w:tcW w:type="dxa" w:w="1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FK · TEXT</w:t>
            </w:r>
          </w:p>
        </w:tc>
        <w:tc>
          <w:tcPr>
            <w:tcW w:type="dxa" w:w="588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Foreign key linking to the Manufacturers table</w:t>
            </w:r>
          </w:p>
        </w:tc>
      </w:tr>
      <w:tr>
        <w:tc>
          <w:tcPr>
            <w:tcW w:type="dxa" w:w="2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ExpiryDate</w:t>
            </w:r>
          </w:p>
        </w:tc>
        <w:tc>
          <w:tcPr>
            <w:tcW w:type="dxa" w:w="1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DATE</w:t>
            </w:r>
          </w:p>
        </w:tc>
        <w:tc>
          <w:tcPr>
            <w:tcW w:type="dxa" w:w="588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Date when the drug is no longer valid for use</w:t>
            </w:r>
          </w:p>
        </w:tc>
      </w:tr>
    </w:tbl>
    <w:p>
      <w:pPr>
        <w:spacing w:before="0" w:after="160"/>
      </w:pPr>
    </w:p>
    <w:p>
      <w:pPr>
        <w:spacing w:before="120" w:after="80"/>
      </w:pPr>
      <w:r>
        <w:rPr>
          <w:rFonts w:ascii="Arial" w:cs="Arial" w:eastAsia="Arial" w:hAnsi="Arial"/>
          <w:b/>
          <w:bCs/>
          <w:color w:val="1A7A6E"/>
          <w:sz w:val="22"/>
          <w:szCs w:val="22"/>
        </w:rPr>
        <w:t xml:space="preserve">LinkedManufacturers  (Manufacturer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88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 Name</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 Type</w:t>
            </w:r>
          </w:p>
        </w:tc>
        <w:tc>
          <w:tcPr>
            <w:tcW w:type="dxa" w:w="58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ManufacturerID</w:t>
            </w:r>
          </w:p>
        </w:tc>
        <w:tc>
          <w:tcPr>
            <w:tcW w:type="dxa" w:w="1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PK · TEXT</w:t>
            </w:r>
          </w:p>
        </w:tc>
        <w:tc>
          <w:tcPr>
            <w:tcW w:type="dxa" w:w="588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Unique code identifying each manufacturer</w:t>
            </w:r>
          </w:p>
        </w:tc>
      </w:tr>
      <w:tr>
        <w:tc>
          <w:tcPr>
            <w:tcW w:type="dxa" w:w="2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bCs/>
                <w:color w:val="1B2A4A"/>
                <w:sz w:val="20"/>
                <w:szCs w:val="20"/>
              </w:rPr>
              <w:t xml:space="preserve">ManufacturerName</w:t>
            </w:r>
          </w:p>
        </w:tc>
        <w:tc>
          <w:tcPr>
            <w:tcW w:type="dxa" w:w="1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TEXT</w:t>
            </w:r>
          </w:p>
        </w:tc>
        <w:tc>
          <w:tcPr>
            <w:tcW w:type="dxa" w:w="588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Official name of the manufacturing company</w:t>
            </w:r>
          </w:p>
        </w:tc>
      </w:tr>
      <w:tr>
        <w:tc>
          <w:tcPr>
            <w:tcW w:type="dxa" w:w="2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Country</w:t>
            </w:r>
          </w:p>
        </w:tc>
        <w:tc>
          <w:tcPr>
            <w:tcW w:type="dxa" w:w="1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TEXT</w:t>
            </w:r>
          </w:p>
        </w:tc>
        <w:tc>
          <w:tcPr>
            <w:tcW w:type="dxa" w:w="588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Country where the manufacturer operates</w:t>
            </w:r>
          </w:p>
        </w:tc>
      </w:tr>
      <w:tr>
        <w:tc>
          <w:tcPr>
            <w:tcW w:type="dxa" w:w="2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bCs/>
                <w:color w:val="1B2A4A"/>
                <w:sz w:val="20"/>
                <w:szCs w:val="20"/>
              </w:rPr>
              <w:t xml:space="preserve">ProductionCapacity</w:t>
            </w:r>
          </w:p>
        </w:tc>
        <w:tc>
          <w:tcPr>
            <w:tcW w:type="dxa" w:w="1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INTEGER</w:t>
            </w:r>
          </w:p>
        </w:tc>
        <w:tc>
          <w:tcPr>
            <w:tcW w:type="dxa" w:w="588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Units the manufacturer can produce per year</w:t>
            </w:r>
          </w:p>
        </w:tc>
      </w:tr>
      <w:tr>
        <w:tc>
          <w:tcPr>
            <w:tcW w:type="dxa" w:w="2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FDAApproved</w:t>
            </w:r>
          </w:p>
        </w:tc>
        <w:tc>
          <w:tcPr>
            <w:tcW w:type="dxa" w:w="1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BOOLEAN</w:t>
            </w:r>
          </w:p>
        </w:tc>
        <w:tc>
          <w:tcPr>
            <w:tcW w:type="dxa" w:w="588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Indicates FDA certification status (Yes/No)</w:t>
            </w:r>
          </w:p>
        </w:tc>
      </w:tr>
    </w:tbl>
    <w:p>
      <w:pPr>
        <w:spacing w:before="0" w:after="160"/>
      </w:pPr>
    </w:p>
    <w:p>
      <w:pPr>
        <w:spacing w:before="120" w:after="80"/>
      </w:pPr>
      <w:r>
        <w:rPr>
          <w:rFonts w:ascii="Arial" w:cs="Arial" w:eastAsia="Arial" w:hAnsi="Arial"/>
          <w:b/>
          <w:bCs/>
          <w:color w:val="1A7A6E"/>
          <w:sz w:val="22"/>
          <w:szCs w:val="22"/>
        </w:rPr>
        <w:t xml:space="preserve">Supplier  (Supplier &amp; Distribution)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88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 Name</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 Type</w:t>
            </w:r>
          </w:p>
        </w:tc>
        <w:tc>
          <w:tcPr>
            <w:tcW w:type="dxa" w:w="58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SupplierID</w:t>
            </w:r>
          </w:p>
        </w:tc>
        <w:tc>
          <w:tcPr>
            <w:tcW w:type="dxa" w:w="1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PK · TEXT</w:t>
            </w:r>
          </w:p>
        </w:tc>
        <w:tc>
          <w:tcPr>
            <w:tcW w:type="dxa" w:w="588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Unique identifier for each supplier</w:t>
            </w:r>
          </w:p>
        </w:tc>
      </w:tr>
      <w:tr>
        <w:tc>
          <w:tcPr>
            <w:tcW w:type="dxa" w:w="2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bCs/>
                <w:color w:val="1B2A4A"/>
                <w:sz w:val="20"/>
                <w:szCs w:val="20"/>
              </w:rPr>
              <w:t xml:space="preserve">SupplierName</w:t>
            </w:r>
          </w:p>
        </w:tc>
        <w:tc>
          <w:tcPr>
            <w:tcW w:type="dxa" w:w="1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TEXT</w:t>
            </w:r>
          </w:p>
        </w:tc>
        <w:tc>
          <w:tcPr>
            <w:tcW w:type="dxa" w:w="588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Name of the supplier or distributor</w:t>
            </w:r>
          </w:p>
        </w:tc>
      </w:tr>
      <w:tr>
        <w:tc>
          <w:tcPr>
            <w:tcW w:type="dxa" w:w="2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Region</w:t>
            </w:r>
          </w:p>
        </w:tc>
        <w:tc>
          <w:tcPr>
            <w:tcW w:type="dxa" w:w="1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TEXT</w:t>
            </w:r>
          </w:p>
        </w:tc>
        <w:tc>
          <w:tcPr>
            <w:tcW w:type="dxa" w:w="588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Geographic area served by the supplier</w:t>
            </w:r>
          </w:p>
        </w:tc>
      </w:tr>
      <w:tr>
        <w:tc>
          <w:tcPr>
            <w:tcW w:type="dxa" w:w="2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bCs/>
                <w:color w:val="1B2A4A"/>
                <w:sz w:val="20"/>
                <w:szCs w:val="20"/>
              </w:rPr>
              <w:t xml:space="preserve">OnTimeDeliveryRate</w:t>
            </w:r>
          </w:p>
        </w:tc>
        <w:tc>
          <w:tcPr>
            <w:tcW w:type="dxa" w:w="1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DECIMAL</w:t>
            </w:r>
          </w:p>
        </w:tc>
        <w:tc>
          <w:tcPr>
            <w:tcW w:type="dxa" w:w="588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Percentage of deliveries made on time</w:t>
            </w:r>
          </w:p>
        </w:tc>
      </w:tr>
      <w:tr>
        <w:tc>
          <w:tcPr>
            <w:tcW w:type="dxa" w:w="2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Preferred</w:t>
            </w:r>
          </w:p>
        </w:tc>
        <w:tc>
          <w:tcPr>
            <w:tcW w:type="dxa" w:w="1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BOOLEAN</w:t>
            </w:r>
          </w:p>
        </w:tc>
        <w:tc>
          <w:tcPr>
            <w:tcW w:type="dxa" w:w="588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Whether the supplier is a preferred vendor (Yes/No)</w:t>
            </w:r>
          </w:p>
        </w:tc>
      </w:tr>
    </w:tbl>
    <w:p>
      <w:pPr>
        <w:spacing w:before="0" w:after="160"/>
      </w:pPr>
    </w:p>
    <w:p>
      <w:pPr>
        <w:spacing w:before="120" w:after="80"/>
      </w:pPr>
      <w:r>
        <w:rPr>
          <w:rFonts w:ascii="Arial" w:cs="Arial" w:eastAsia="Arial" w:hAnsi="Arial"/>
          <w:b/>
          <w:bCs/>
          <w:color w:val="1A7A6E"/>
          <w:sz w:val="22"/>
          <w:szCs w:val="22"/>
        </w:rPr>
        <w:t xml:space="preserve">Inventory  (Stock Levels)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88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 Name</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 Type</w:t>
            </w:r>
          </w:p>
        </w:tc>
        <w:tc>
          <w:tcPr>
            <w:tcW w:type="dxa" w:w="58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InventoryID</w:t>
            </w:r>
          </w:p>
        </w:tc>
        <w:tc>
          <w:tcPr>
            <w:tcW w:type="dxa" w:w="1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PK · TEXT</w:t>
            </w:r>
          </w:p>
        </w:tc>
        <w:tc>
          <w:tcPr>
            <w:tcW w:type="dxa" w:w="588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Unique identifier for inventory records</w:t>
            </w:r>
          </w:p>
        </w:tc>
      </w:tr>
      <w:tr>
        <w:tc>
          <w:tcPr>
            <w:tcW w:type="dxa" w:w="2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bCs/>
                <w:color w:val="1B2A4A"/>
                <w:sz w:val="20"/>
                <w:szCs w:val="20"/>
              </w:rPr>
              <w:t xml:space="preserve">DrugID</w:t>
            </w:r>
          </w:p>
        </w:tc>
        <w:tc>
          <w:tcPr>
            <w:tcW w:type="dxa" w:w="1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FK · TEXT</w:t>
            </w:r>
          </w:p>
        </w:tc>
        <w:tc>
          <w:tcPr>
            <w:tcW w:type="dxa" w:w="588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The drug associated with this inventory record</w:t>
            </w:r>
          </w:p>
        </w:tc>
      </w:tr>
      <w:tr>
        <w:tc>
          <w:tcPr>
            <w:tcW w:type="dxa" w:w="2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SupplierID</w:t>
            </w:r>
          </w:p>
        </w:tc>
        <w:tc>
          <w:tcPr>
            <w:tcW w:type="dxa" w:w="1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FK · TEXT</w:t>
            </w:r>
          </w:p>
        </w:tc>
        <w:tc>
          <w:tcPr>
            <w:tcW w:type="dxa" w:w="588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Supplier who provided the stock</w:t>
            </w:r>
          </w:p>
        </w:tc>
      </w:tr>
      <w:tr>
        <w:tc>
          <w:tcPr>
            <w:tcW w:type="dxa" w:w="2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bCs/>
                <w:color w:val="1B2A4A"/>
                <w:sz w:val="20"/>
                <w:szCs w:val="20"/>
              </w:rPr>
              <w:t xml:space="preserve">StockLevel</w:t>
            </w:r>
          </w:p>
        </w:tc>
        <w:tc>
          <w:tcPr>
            <w:tcW w:type="dxa" w:w="1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INTEGER</w:t>
            </w:r>
          </w:p>
        </w:tc>
        <w:tc>
          <w:tcPr>
            <w:tcW w:type="dxa" w:w="588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Quantity of drug currently in stock</w:t>
            </w:r>
          </w:p>
        </w:tc>
      </w:tr>
      <w:tr>
        <w:tc>
          <w:tcPr>
            <w:tcW w:type="dxa" w:w="2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LastRestockDate</w:t>
            </w:r>
          </w:p>
        </w:tc>
        <w:tc>
          <w:tcPr>
            <w:tcW w:type="dxa" w:w="1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DATE</w:t>
            </w:r>
          </w:p>
        </w:tc>
        <w:tc>
          <w:tcPr>
            <w:tcW w:type="dxa" w:w="588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Date the inventory was last replenished</w:t>
            </w:r>
          </w:p>
        </w:tc>
      </w:tr>
    </w:tbl>
    <w:p>
      <w:pPr>
        <w:spacing w:before="0" w:after="160"/>
      </w:pPr>
    </w:p>
    <w:p>
      <w:pPr>
        <w:spacing w:before="120" w:after="80"/>
      </w:pPr>
      <w:r>
        <w:rPr>
          <w:rFonts w:ascii="Arial" w:cs="Arial" w:eastAsia="Arial" w:hAnsi="Arial"/>
          <w:b/>
          <w:bCs/>
          <w:color w:val="1A7A6E"/>
          <w:sz w:val="22"/>
          <w:szCs w:val="22"/>
        </w:rPr>
        <w:t xml:space="preserve">Sales Agent  (Representative Directory)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88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 Name</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 Type</w:t>
            </w:r>
          </w:p>
        </w:tc>
        <w:tc>
          <w:tcPr>
            <w:tcW w:type="dxa" w:w="58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SalesRepID</w:t>
            </w:r>
          </w:p>
        </w:tc>
        <w:tc>
          <w:tcPr>
            <w:tcW w:type="dxa" w:w="1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PK · TEXT</w:t>
            </w:r>
          </w:p>
        </w:tc>
        <w:tc>
          <w:tcPr>
            <w:tcW w:type="dxa" w:w="588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Unique ID assigned to each sales representative</w:t>
            </w:r>
          </w:p>
        </w:tc>
      </w:tr>
      <w:tr>
        <w:tc>
          <w:tcPr>
            <w:tcW w:type="dxa" w:w="2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bCs/>
                <w:color w:val="1B2A4A"/>
                <w:sz w:val="20"/>
                <w:szCs w:val="20"/>
              </w:rPr>
              <w:t xml:space="preserve">SalesRepName</w:t>
            </w:r>
          </w:p>
        </w:tc>
        <w:tc>
          <w:tcPr>
            <w:tcW w:type="dxa" w:w="160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TEXT</w:t>
            </w:r>
          </w:p>
        </w:tc>
        <w:tc>
          <w:tcPr>
            <w:tcW w:type="dxa" w:w="5880"/>
            <w:tcBorders>
              <w:top w:val="single" w:color="D0D5E0" w:sz="1"/>
              <w:left w:val="single" w:color="D0D5E0" w:sz="1"/>
              <w:bottom w:val="single" w:color="D0D5E0" w:sz="1"/>
              <w:right w:val="single" w:color="D0D5E0" w:sz="1"/>
            </w:tcBorders>
            <w:shd w:fill="F5F7FA" w:val="clear"/>
            <w:tcMar>
              <w:top w:type="dxa" w:w="80"/>
              <w:left w:type="dxa" w:w="140"/>
              <w:bottom w:type="dxa" w:w="80"/>
              <w:right w:type="dxa" w:w="140"/>
            </w:tcMar>
          </w:tcPr>
          <w:p>
            <w:r>
              <w:rPr>
                <w:rFonts w:ascii="Arial" w:cs="Arial" w:eastAsia="Arial" w:hAnsi="Arial"/>
                <w:b w:val="false"/>
                <w:bCs w:val="false"/>
                <w:color w:val="4A5568"/>
                <w:sz w:val="20"/>
                <w:szCs w:val="20"/>
              </w:rPr>
              <w:t xml:space="preserve">Full name of the sales agent</w:t>
            </w:r>
          </w:p>
        </w:tc>
      </w:tr>
    </w:tbl>
    <w:p>
      <w:pPr>
        <w:spacing w:before="0" w:after="200"/>
      </w:pPr>
    </w:p>
    <w:p>
      <w:pPr>
        <w:pBdr>
          <w:bottom w:val="single" w:color="C8902A" w:sz="3" w:space="4"/>
        </w:pBdr>
        <w:spacing w:before="400" w:after="160"/>
      </w:pPr>
      <w:r>
        <w:rPr>
          <w:rFonts w:ascii="Arial" w:cs="Arial" w:eastAsia="Arial" w:hAnsi="Arial"/>
          <w:b/>
          <w:bCs/>
          <w:color w:val="1B2A4A"/>
          <w:sz w:val="36"/>
          <w:szCs w:val="36"/>
        </w:rPr>
        <w:t xml:space="preserve">6.  Key Metrics &amp; KPIs</w:t>
      </w:r>
    </w:p>
    <w:p>
      <w:pPr>
        <w:spacing w:before="0" w:after="80"/>
      </w:pPr>
    </w:p>
    <w:p>
      <w:pPr>
        <w:spacing w:before="0" w:after="120"/>
        <w:jc w:val="both"/>
      </w:pPr>
      <w:r>
        <w:rPr>
          <w:rFonts w:ascii="Arial" w:cs="Arial" w:eastAsia="Arial" w:hAnsi="Arial"/>
          <w:color w:val="4A5568"/>
          <w:sz w:val="22"/>
          <w:szCs w:val="22"/>
        </w:rPr>
        <w:t xml:space="preserve">The following six KPIs form the core measurement framework of the dashboard, each sliceable by region, product, time period, and customer segment.</w:t>
      </w:r>
    </w:p>
    <w:p>
      <w:pPr>
        <w:spacing w:before="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528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3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KPI Name</w:t>
            </w:r>
          </w:p>
        </w:tc>
        <w:tc>
          <w:tcPr>
            <w:tcW w:type="dxa" w:w="52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800"/>
            <w:tcBorders>
              <w:top w:val="single" w:color="D0D5E0" w:sz="1"/>
              <w:left w:val="single" w:color="D0D5E0" w:sz="1"/>
              <w:bottom w:val="single" w:color="D0D5E0" w:sz="1"/>
              <w:right w:val="single" w:color="D0D5E0"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C8902A"/>
                <w:sz w:val="24"/>
                <w:szCs w:val="24"/>
              </w:rPr>
              <w:t xml:space="preserve">01</w:t>
            </w:r>
          </w:p>
        </w:tc>
        <w:tc>
          <w:tcPr>
            <w:tcW w:type="dxa" w:w="3000"/>
            <w:tcBorders>
              <w:top w:val="single" w:color="D0D5E0" w:sz="1"/>
              <w:left w:val="single" w:color="D0D5E0" w:sz="1"/>
              <w:bottom w:val="single" w:color="D0D5E0" w:sz="1"/>
              <w:right w:val="single" w:color="D0D5E0" w:sz="1"/>
            </w:tcBorders>
            <w:shd w:fill="E8F5F3" w:val="clear"/>
            <w:tcMar>
              <w:top w:type="dxa" w:w="120"/>
              <w:left w:type="dxa" w:w="160"/>
              <w:bottom w:type="dxa" w:w="120"/>
              <w:right w:type="dxa" w:w="140"/>
            </w:tcMar>
            <w:vAlign w:val="center"/>
          </w:tcPr>
          <w:p>
            <w:r>
              <w:rPr>
                <w:rFonts w:ascii="Arial" w:cs="Arial" w:eastAsia="Arial" w:hAnsi="Arial"/>
                <w:b/>
                <w:bCs/>
                <w:color w:val="1A7A6E"/>
                <w:sz w:val="20"/>
                <w:szCs w:val="20"/>
              </w:rPr>
              <w:t xml:space="preserve">Total Sales Amount</w:t>
            </w:r>
          </w:p>
        </w:tc>
        <w:tc>
          <w:tcPr>
            <w:tcW w:type="dxa" w:w="5280"/>
            <w:tcBorders>
              <w:top w:val="single" w:color="D0D5E0" w:sz="1"/>
              <w:left w:val="single" w:color="D0D5E0" w:sz="1"/>
              <w:bottom w:val="single" w:color="D0D5E0" w:sz="1"/>
              <w:right w:val="single" w:color="D0D5E0" w:sz="1"/>
            </w:tcBorders>
            <w:shd w:fill="F5F7FA" w:val="clear"/>
            <w:tcMar>
              <w:top w:type="dxa" w:w="120"/>
              <w:left w:type="dxa" w:w="160"/>
              <w:bottom w:type="dxa" w:w="120"/>
              <w:right w:type="dxa" w:w="140"/>
            </w:tcMar>
          </w:tcPr>
          <w:p>
            <w:r>
              <w:rPr>
                <w:rFonts w:ascii="Arial" w:cs="Arial" w:eastAsia="Arial" w:hAnsi="Arial"/>
                <w:color w:val="4A5568"/>
                <w:sz w:val="20"/>
                <w:szCs w:val="20"/>
              </w:rPr>
              <w:t xml:space="preserve">Aggregate revenue across all transactions. Primary top-level measure for executive-level reporting and quota tracking.</w:t>
            </w:r>
          </w:p>
        </w:tc>
      </w:tr>
      <w:tr>
        <w:tc>
          <w:tcPr>
            <w:tcW w:type="dxa" w:w="1800"/>
            <w:tcBorders>
              <w:top w:val="single" w:color="D0D5E0" w:sz="1"/>
              <w:left w:val="single" w:color="D0D5E0" w:sz="1"/>
              <w:bottom w:val="single" w:color="D0D5E0" w:sz="1"/>
              <w:right w:val="single" w:color="D0D5E0"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C8902A"/>
                <w:sz w:val="24"/>
                <w:szCs w:val="24"/>
              </w:rPr>
              <w:t xml:space="preserve">02</w:t>
            </w:r>
          </w:p>
        </w:tc>
        <w:tc>
          <w:tcPr>
            <w:tcW w:type="dxa" w:w="3000"/>
            <w:tcBorders>
              <w:top w:val="single" w:color="D0D5E0" w:sz="1"/>
              <w:left w:val="single" w:color="D0D5E0" w:sz="1"/>
              <w:bottom w:val="single" w:color="D0D5E0" w:sz="1"/>
              <w:right w:val="single" w:color="D0D5E0" w:sz="1"/>
            </w:tcBorders>
            <w:shd w:fill="FFFFFF" w:val="clear"/>
            <w:tcMar>
              <w:top w:type="dxa" w:w="120"/>
              <w:left w:type="dxa" w:w="160"/>
              <w:bottom w:type="dxa" w:w="120"/>
              <w:right w:type="dxa" w:w="140"/>
            </w:tcMar>
            <w:vAlign w:val="center"/>
          </w:tcPr>
          <w:p>
            <w:r>
              <w:rPr>
                <w:rFonts w:ascii="Arial" w:cs="Arial" w:eastAsia="Arial" w:hAnsi="Arial"/>
                <w:b/>
                <w:bCs/>
                <w:color w:val="1A7A6E"/>
                <w:sz w:val="20"/>
                <w:szCs w:val="20"/>
              </w:rPr>
              <w:t xml:space="preserve">Quantity Sold (Units)</w:t>
            </w:r>
          </w:p>
        </w:tc>
        <w:tc>
          <w:tcPr>
            <w:tcW w:type="dxa" w:w="5280"/>
            <w:tcBorders>
              <w:top w:val="single" w:color="D0D5E0" w:sz="1"/>
              <w:left w:val="single" w:color="D0D5E0" w:sz="1"/>
              <w:bottom w:val="single" w:color="D0D5E0" w:sz="1"/>
              <w:right w:val="single" w:color="D0D5E0" w:sz="1"/>
            </w:tcBorders>
            <w:shd w:fill="FFFFFF" w:val="clear"/>
            <w:tcMar>
              <w:top w:type="dxa" w:w="120"/>
              <w:left w:type="dxa" w:w="160"/>
              <w:bottom w:type="dxa" w:w="120"/>
              <w:right w:type="dxa" w:w="140"/>
            </w:tcMar>
          </w:tcPr>
          <w:p>
            <w:r>
              <w:rPr>
                <w:rFonts w:ascii="Arial" w:cs="Arial" w:eastAsia="Arial" w:hAnsi="Arial"/>
                <w:color w:val="4A5568"/>
                <w:sz w:val="20"/>
                <w:szCs w:val="20"/>
              </w:rPr>
              <w:t xml:space="preserve">Total units sold across all drugs and channels. Tracks volume trends independent of price changes or discounts.</w:t>
            </w:r>
          </w:p>
        </w:tc>
      </w:tr>
      <w:tr>
        <w:tc>
          <w:tcPr>
            <w:tcW w:type="dxa" w:w="1800"/>
            <w:tcBorders>
              <w:top w:val="single" w:color="D0D5E0" w:sz="1"/>
              <w:left w:val="single" w:color="D0D5E0" w:sz="1"/>
              <w:bottom w:val="single" w:color="D0D5E0" w:sz="1"/>
              <w:right w:val="single" w:color="D0D5E0"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C8902A"/>
                <w:sz w:val="24"/>
                <w:szCs w:val="24"/>
              </w:rPr>
              <w:t xml:space="preserve">03</w:t>
            </w:r>
          </w:p>
        </w:tc>
        <w:tc>
          <w:tcPr>
            <w:tcW w:type="dxa" w:w="3000"/>
            <w:tcBorders>
              <w:top w:val="single" w:color="D0D5E0" w:sz="1"/>
              <w:left w:val="single" w:color="D0D5E0" w:sz="1"/>
              <w:bottom w:val="single" w:color="D0D5E0" w:sz="1"/>
              <w:right w:val="single" w:color="D0D5E0" w:sz="1"/>
            </w:tcBorders>
            <w:shd w:fill="E8F5F3" w:val="clear"/>
            <w:tcMar>
              <w:top w:type="dxa" w:w="120"/>
              <w:left w:type="dxa" w:w="160"/>
              <w:bottom w:type="dxa" w:w="120"/>
              <w:right w:type="dxa" w:w="140"/>
            </w:tcMar>
            <w:vAlign w:val="center"/>
          </w:tcPr>
          <w:p>
            <w:r>
              <w:rPr>
                <w:rFonts w:ascii="Arial" w:cs="Arial" w:eastAsia="Arial" w:hAnsi="Arial"/>
                <w:b/>
                <w:bCs/>
                <w:color w:val="1A7A6E"/>
                <w:sz w:val="20"/>
                <w:szCs w:val="20"/>
              </w:rPr>
              <w:t xml:space="preserve">Product-Wise Sales Contribution</w:t>
            </w:r>
          </w:p>
        </w:tc>
        <w:tc>
          <w:tcPr>
            <w:tcW w:type="dxa" w:w="5280"/>
            <w:tcBorders>
              <w:top w:val="single" w:color="D0D5E0" w:sz="1"/>
              <w:left w:val="single" w:color="D0D5E0" w:sz="1"/>
              <w:bottom w:val="single" w:color="D0D5E0" w:sz="1"/>
              <w:right w:val="single" w:color="D0D5E0" w:sz="1"/>
            </w:tcBorders>
            <w:shd w:fill="F5F7FA" w:val="clear"/>
            <w:tcMar>
              <w:top w:type="dxa" w:w="120"/>
              <w:left w:type="dxa" w:w="160"/>
              <w:bottom w:type="dxa" w:w="120"/>
              <w:right w:type="dxa" w:w="140"/>
            </w:tcMar>
          </w:tcPr>
          <w:p>
            <w:r>
              <w:rPr>
                <w:rFonts w:ascii="Arial" w:cs="Arial" w:eastAsia="Arial" w:hAnsi="Arial"/>
                <w:color w:val="4A5568"/>
                <w:sz w:val="20"/>
                <w:szCs w:val="20"/>
              </w:rPr>
              <w:t xml:space="preserve">Percentage share of each drug in total revenue. Used to identify high-margin products and those at risk of decline.</w:t>
            </w:r>
          </w:p>
        </w:tc>
      </w:tr>
      <w:tr>
        <w:tc>
          <w:tcPr>
            <w:tcW w:type="dxa" w:w="1800"/>
            <w:tcBorders>
              <w:top w:val="single" w:color="D0D5E0" w:sz="1"/>
              <w:left w:val="single" w:color="D0D5E0" w:sz="1"/>
              <w:bottom w:val="single" w:color="D0D5E0" w:sz="1"/>
              <w:right w:val="single" w:color="D0D5E0"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C8902A"/>
                <w:sz w:val="24"/>
                <w:szCs w:val="24"/>
              </w:rPr>
              <w:t xml:space="preserve">04</w:t>
            </w:r>
          </w:p>
        </w:tc>
        <w:tc>
          <w:tcPr>
            <w:tcW w:type="dxa" w:w="3000"/>
            <w:tcBorders>
              <w:top w:val="single" w:color="D0D5E0" w:sz="1"/>
              <w:left w:val="single" w:color="D0D5E0" w:sz="1"/>
              <w:bottom w:val="single" w:color="D0D5E0" w:sz="1"/>
              <w:right w:val="single" w:color="D0D5E0" w:sz="1"/>
            </w:tcBorders>
            <w:shd w:fill="FFFFFF" w:val="clear"/>
            <w:tcMar>
              <w:top w:type="dxa" w:w="120"/>
              <w:left w:type="dxa" w:w="160"/>
              <w:bottom w:type="dxa" w:w="120"/>
              <w:right w:type="dxa" w:w="140"/>
            </w:tcMar>
            <w:vAlign w:val="center"/>
          </w:tcPr>
          <w:p>
            <w:r>
              <w:rPr>
                <w:rFonts w:ascii="Arial" w:cs="Arial" w:eastAsia="Arial" w:hAnsi="Arial"/>
                <w:b/>
                <w:bCs/>
                <w:color w:val="1A7A6E"/>
                <w:sz w:val="20"/>
                <w:szCs w:val="20"/>
              </w:rPr>
              <w:t xml:space="preserve">Region / Zone-wise Sales</w:t>
            </w:r>
          </w:p>
        </w:tc>
        <w:tc>
          <w:tcPr>
            <w:tcW w:type="dxa" w:w="5280"/>
            <w:tcBorders>
              <w:top w:val="single" w:color="D0D5E0" w:sz="1"/>
              <w:left w:val="single" w:color="D0D5E0" w:sz="1"/>
              <w:bottom w:val="single" w:color="D0D5E0" w:sz="1"/>
              <w:right w:val="single" w:color="D0D5E0" w:sz="1"/>
            </w:tcBorders>
            <w:shd w:fill="FFFFFF" w:val="clear"/>
            <w:tcMar>
              <w:top w:type="dxa" w:w="120"/>
              <w:left w:type="dxa" w:w="160"/>
              <w:bottom w:type="dxa" w:w="120"/>
              <w:right w:type="dxa" w:w="140"/>
            </w:tcMar>
          </w:tcPr>
          <w:p>
            <w:r>
              <w:rPr>
                <w:rFonts w:ascii="Arial" w:cs="Arial" w:eastAsia="Arial" w:hAnsi="Arial"/>
                <w:color w:val="4A5568"/>
                <w:sz w:val="20"/>
                <w:szCs w:val="20"/>
              </w:rPr>
              <w:t xml:space="preserve">Breakdown of performance by geographic territory. Highlights over- and under-performing regions for targeted action.</w:t>
            </w:r>
          </w:p>
        </w:tc>
      </w:tr>
      <w:tr>
        <w:tc>
          <w:tcPr>
            <w:tcW w:type="dxa" w:w="1800"/>
            <w:tcBorders>
              <w:top w:val="single" w:color="D0D5E0" w:sz="1"/>
              <w:left w:val="single" w:color="D0D5E0" w:sz="1"/>
              <w:bottom w:val="single" w:color="D0D5E0" w:sz="1"/>
              <w:right w:val="single" w:color="D0D5E0"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C8902A"/>
                <w:sz w:val="24"/>
                <w:szCs w:val="24"/>
              </w:rPr>
              <w:t xml:space="preserve">05</w:t>
            </w:r>
          </w:p>
        </w:tc>
        <w:tc>
          <w:tcPr>
            <w:tcW w:type="dxa" w:w="3000"/>
            <w:tcBorders>
              <w:top w:val="single" w:color="D0D5E0" w:sz="1"/>
              <w:left w:val="single" w:color="D0D5E0" w:sz="1"/>
              <w:bottom w:val="single" w:color="D0D5E0" w:sz="1"/>
              <w:right w:val="single" w:color="D0D5E0" w:sz="1"/>
            </w:tcBorders>
            <w:shd w:fill="E8F5F3" w:val="clear"/>
            <w:tcMar>
              <w:top w:type="dxa" w:w="120"/>
              <w:left w:type="dxa" w:w="160"/>
              <w:bottom w:type="dxa" w:w="120"/>
              <w:right w:type="dxa" w:w="140"/>
            </w:tcMar>
            <w:vAlign w:val="center"/>
          </w:tcPr>
          <w:p>
            <w:r>
              <w:rPr>
                <w:rFonts w:ascii="Arial" w:cs="Arial" w:eastAsia="Arial" w:hAnsi="Arial"/>
                <w:b/>
                <w:bCs/>
                <w:color w:val="1A7A6E"/>
                <w:sz w:val="20"/>
                <w:szCs w:val="20"/>
              </w:rPr>
              <w:t xml:space="preserve">Monthly / Quarterly Trends</w:t>
            </w:r>
          </w:p>
        </w:tc>
        <w:tc>
          <w:tcPr>
            <w:tcW w:type="dxa" w:w="5280"/>
            <w:tcBorders>
              <w:top w:val="single" w:color="D0D5E0" w:sz="1"/>
              <w:left w:val="single" w:color="D0D5E0" w:sz="1"/>
              <w:bottom w:val="single" w:color="D0D5E0" w:sz="1"/>
              <w:right w:val="single" w:color="D0D5E0" w:sz="1"/>
            </w:tcBorders>
            <w:shd w:fill="F5F7FA" w:val="clear"/>
            <w:tcMar>
              <w:top w:type="dxa" w:w="120"/>
              <w:left w:type="dxa" w:w="160"/>
              <w:bottom w:type="dxa" w:w="120"/>
              <w:right w:type="dxa" w:w="140"/>
            </w:tcMar>
          </w:tcPr>
          <w:p>
            <w:r>
              <w:rPr>
                <w:rFonts w:ascii="Arial" w:cs="Arial" w:eastAsia="Arial" w:hAnsi="Arial"/>
                <w:color w:val="4A5568"/>
                <w:sz w:val="20"/>
                <w:szCs w:val="20"/>
              </w:rPr>
              <w:t xml:space="preserve">Time-intelligence metrics including MoM growth, QoQ comparisons, and YTD cumulative totals using DAX functions.</w:t>
            </w:r>
          </w:p>
        </w:tc>
      </w:tr>
      <w:tr>
        <w:tc>
          <w:tcPr>
            <w:tcW w:type="dxa" w:w="1800"/>
            <w:tcBorders>
              <w:top w:val="single" w:color="D0D5E0" w:sz="1"/>
              <w:left w:val="single" w:color="D0D5E0" w:sz="1"/>
              <w:bottom w:val="single" w:color="D0D5E0" w:sz="1"/>
              <w:right w:val="single" w:color="D0D5E0"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C8902A"/>
                <w:sz w:val="24"/>
                <w:szCs w:val="24"/>
              </w:rPr>
              <w:t xml:space="preserve">06</w:t>
            </w:r>
          </w:p>
        </w:tc>
        <w:tc>
          <w:tcPr>
            <w:tcW w:type="dxa" w:w="3000"/>
            <w:tcBorders>
              <w:top w:val="single" w:color="D0D5E0" w:sz="1"/>
              <w:left w:val="single" w:color="D0D5E0" w:sz="1"/>
              <w:bottom w:val="single" w:color="D0D5E0" w:sz="1"/>
              <w:right w:val="single" w:color="D0D5E0" w:sz="1"/>
            </w:tcBorders>
            <w:shd w:fill="FFFFFF" w:val="clear"/>
            <w:tcMar>
              <w:top w:type="dxa" w:w="120"/>
              <w:left w:type="dxa" w:w="160"/>
              <w:bottom w:type="dxa" w:w="120"/>
              <w:right w:type="dxa" w:w="140"/>
            </w:tcMar>
            <w:vAlign w:val="center"/>
          </w:tcPr>
          <w:p>
            <w:r>
              <w:rPr>
                <w:rFonts w:ascii="Arial" w:cs="Arial" w:eastAsia="Arial" w:hAnsi="Arial"/>
                <w:b/>
                <w:bCs/>
                <w:color w:val="1A7A6E"/>
                <w:sz w:val="20"/>
                <w:szCs w:val="20"/>
              </w:rPr>
              <w:t xml:space="preserve">Supplier Performance Metrics</w:t>
            </w:r>
          </w:p>
        </w:tc>
        <w:tc>
          <w:tcPr>
            <w:tcW w:type="dxa" w:w="5280"/>
            <w:tcBorders>
              <w:top w:val="single" w:color="D0D5E0" w:sz="1"/>
              <w:left w:val="single" w:color="D0D5E0" w:sz="1"/>
              <w:bottom w:val="single" w:color="D0D5E0" w:sz="1"/>
              <w:right w:val="single" w:color="D0D5E0" w:sz="1"/>
            </w:tcBorders>
            <w:shd w:fill="FFFFFF" w:val="clear"/>
            <w:tcMar>
              <w:top w:type="dxa" w:w="120"/>
              <w:left w:type="dxa" w:w="160"/>
              <w:bottom w:type="dxa" w:w="120"/>
              <w:right w:type="dxa" w:w="140"/>
            </w:tcMar>
          </w:tcPr>
          <w:p>
            <w:r>
              <w:rPr>
                <w:rFonts w:ascii="Arial" w:cs="Arial" w:eastAsia="Arial" w:hAnsi="Arial"/>
                <w:color w:val="4A5568"/>
                <w:sz w:val="20"/>
                <w:szCs w:val="20"/>
              </w:rPr>
              <w:t xml:space="preserve">On-time delivery rates per supplier, preferred vs. non-preferred vendor split, and supply coverage by region.</w:t>
            </w:r>
          </w:p>
        </w:tc>
      </w:tr>
    </w:tbl>
    <w:p>
      <w:pPr>
        <w:spacing w:before="0" w:after="200"/>
      </w:pPr>
    </w:p>
    <w:p>
      <w:pPr>
        <w:pBdr>
          <w:bottom w:val="single" w:color="C8902A" w:sz="3" w:space="4"/>
        </w:pBdr>
        <w:spacing w:before="400" w:after="160"/>
      </w:pPr>
      <w:r>
        <w:rPr>
          <w:rFonts w:ascii="Arial" w:cs="Arial" w:eastAsia="Arial" w:hAnsi="Arial"/>
          <w:b/>
          <w:bCs/>
          <w:color w:val="1B2A4A"/>
          <w:sz w:val="36"/>
          <w:szCs w:val="36"/>
        </w:rPr>
        <w:t xml:space="preserve">7.  Delivery Workflow</w:t>
      </w:r>
    </w:p>
    <w:p>
      <w:pPr>
        <w:spacing w:before="0" w:after="80"/>
      </w:pPr>
    </w:p>
    <w:p>
      <w:pPr>
        <w:spacing w:before="0" w:after="120"/>
        <w:jc w:val="both"/>
      </w:pPr>
      <w:r>
        <w:rPr>
          <w:rFonts w:ascii="Arial" w:cs="Arial" w:eastAsia="Arial" w:hAnsi="Arial"/>
          <w:color w:val="4A5568"/>
          <w:sz w:val="22"/>
          <w:szCs w:val="22"/>
        </w:rPr>
        <w:t xml:space="preserve">The dashboard is delivered through a structured six-step pipeline from raw source data to automated daily refresh in Power BI Service.</w:t>
      </w:r>
    </w:p>
    <w:p>
      <w:pPr>
        <w:spacing w:before="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48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Step</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Stage</w:t>
            </w:r>
          </w:p>
        </w:tc>
        <w:tc>
          <w:tcPr>
            <w:tcW w:type="dxa" w:w="64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Details</w:t>
            </w:r>
          </w:p>
        </w:tc>
      </w:tr>
      <w:tr>
        <w:tc>
          <w:tcPr>
            <w:tcW w:type="dxa" w:w="1200"/>
            <w:tcBorders>
              <w:top w:val="single" w:color="D0D5E0" w:sz="1"/>
              <w:left w:val="single" w:color="D0D5E0" w:sz="1"/>
              <w:bottom w:val="single" w:color="D0D5E0" w:sz="1"/>
              <w:right w:val="single" w:color="D0D5E0" w:sz="1"/>
            </w:tcBorders>
            <w:shd w:fill="C8902A" w:val="clear"/>
            <w:tcMar>
              <w:top w:type="dxa" w:w="120"/>
              <w:left w:type="dxa" w:w="140"/>
              <w:bottom w:type="dxa" w:w="120"/>
              <w:right w:type="dxa" w:w="140"/>
            </w:tcMar>
            <w:vAlign w:val="center"/>
          </w:tcPr>
          <w:p>
            <w:pPr>
              <w:jc w:val="center"/>
            </w:pPr>
            <w:r>
              <w:rPr>
                <w:rFonts w:ascii="Arial" w:cs="Arial" w:eastAsia="Arial" w:hAnsi="Arial"/>
                <w:b/>
                <w:bCs/>
                <w:color w:val="FFFFFF"/>
                <w:sz w:val="26"/>
                <w:szCs w:val="26"/>
              </w:rPr>
              <w:t xml:space="preserve">01</w:t>
            </w:r>
          </w:p>
        </w:tc>
        <w:tc>
          <w:tcPr>
            <w:tcW w:type="dxa" w:w="2400"/>
            <w:tcBorders>
              <w:top w:val="single" w:color="D0D5E0" w:sz="1"/>
              <w:left w:val="single" w:color="D0D5E0" w:sz="1"/>
              <w:bottom w:val="single" w:color="D0D5E0" w:sz="1"/>
              <w:right w:val="single" w:color="D0D5E0" w:sz="1"/>
            </w:tcBorders>
            <w:shd w:fill="1B2A4A" w:val="clear"/>
            <w:tcMar>
              <w:top w:type="dxa" w:w="120"/>
              <w:left w:type="dxa" w:w="160"/>
              <w:bottom w:type="dxa" w:w="120"/>
              <w:right w:type="dxa" w:w="140"/>
            </w:tcMar>
            <w:vAlign w:val="center"/>
          </w:tcPr>
          <w:p>
            <w:r>
              <w:rPr>
                <w:rFonts w:ascii="Arial" w:cs="Arial" w:eastAsia="Arial" w:hAnsi="Arial"/>
                <w:b/>
                <w:bCs/>
                <w:color w:val="FFFFFF"/>
                <w:sz w:val="20"/>
                <w:szCs w:val="20"/>
              </w:rPr>
              <w:t xml:space="preserve">Data Source Connection</w:t>
            </w:r>
          </w:p>
        </w:tc>
        <w:tc>
          <w:tcPr>
            <w:tcW w:type="dxa" w:w="6480"/>
            <w:tcBorders>
              <w:top w:val="single" w:color="D0D5E0" w:sz="1"/>
              <w:left w:val="single" w:color="D0D5E0" w:sz="1"/>
              <w:bottom w:val="single" w:color="D0D5E0" w:sz="1"/>
              <w:right w:val="single" w:color="D0D5E0" w:sz="1"/>
            </w:tcBorders>
            <w:shd w:fill="F5F7FA" w:val="clear"/>
            <w:tcMar>
              <w:top w:type="dxa" w:w="120"/>
              <w:left w:type="dxa" w:w="160"/>
              <w:bottom w:type="dxa" w:w="120"/>
              <w:right w:type="dxa" w:w="140"/>
            </w:tcMar>
          </w:tcPr>
          <w:p>
            <w:r>
              <w:rPr>
                <w:rFonts w:ascii="Arial" w:cs="Arial" w:eastAsia="Arial" w:hAnsi="Arial"/>
                <w:color w:val="4A5568"/>
                <w:sz w:val="20"/>
                <w:szCs w:val="20"/>
              </w:rPr>
              <w:t xml:space="preserve">Connect Power BI to the 6 source tables via SQL Server, Excel, or SharePoint connectors depending on the data host environment.</w:t>
            </w:r>
          </w:p>
        </w:tc>
      </w:tr>
      <w:tr>
        <w:tc>
          <w:tcPr>
            <w:tcW w:type="dxa" w:w="1200"/>
            <w:tcBorders>
              <w:top w:val="single" w:color="D0D5E0" w:sz="1"/>
              <w:left w:val="single" w:color="D0D5E0" w:sz="1"/>
              <w:bottom w:val="single" w:color="D0D5E0" w:sz="1"/>
              <w:right w:val="single" w:color="D0D5E0" w:sz="1"/>
            </w:tcBorders>
            <w:shd w:fill="C8902A" w:val="clear"/>
            <w:tcMar>
              <w:top w:type="dxa" w:w="120"/>
              <w:left w:type="dxa" w:w="140"/>
              <w:bottom w:type="dxa" w:w="120"/>
              <w:right w:type="dxa" w:w="140"/>
            </w:tcMar>
            <w:vAlign w:val="center"/>
          </w:tcPr>
          <w:p>
            <w:pPr>
              <w:jc w:val="center"/>
            </w:pPr>
            <w:r>
              <w:rPr>
                <w:rFonts w:ascii="Arial" w:cs="Arial" w:eastAsia="Arial" w:hAnsi="Arial"/>
                <w:b/>
                <w:bCs/>
                <w:color w:val="FFFFFF"/>
                <w:sz w:val="26"/>
                <w:szCs w:val="26"/>
              </w:rPr>
              <w:t xml:space="preserve">02</w:t>
            </w:r>
          </w:p>
        </w:tc>
        <w:tc>
          <w:tcPr>
            <w:tcW w:type="dxa" w:w="2400"/>
            <w:tcBorders>
              <w:top w:val="single" w:color="D0D5E0" w:sz="1"/>
              <w:left w:val="single" w:color="D0D5E0" w:sz="1"/>
              <w:bottom w:val="single" w:color="D0D5E0" w:sz="1"/>
              <w:right w:val="single" w:color="D0D5E0" w:sz="1"/>
            </w:tcBorders>
            <w:shd w:fill="253555" w:val="clear"/>
            <w:tcMar>
              <w:top w:type="dxa" w:w="120"/>
              <w:left w:type="dxa" w:w="160"/>
              <w:bottom w:type="dxa" w:w="120"/>
              <w:right w:type="dxa" w:w="140"/>
            </w:tcMar>
            <w:vAlign w:val="center"/>
          </w:tcPr>
          <w:p>
            <w:r>
              <w:rPr>
                <w:rFonts w:ascii="Arial" w:cs="Arial" w:eastAsia="Arial" w:hAnsi="Arial"/>
                <w:b/>
                <w:bCs/>
                <w:color w:val="FFFFFF"/>
                <w:sz w:val="20"/>
                <w:szCs w:val="20"/>
              </w:rPr>
              <w:t xml:space="preserve">Data Transformation</w:t>
            </w:r>
          </w:p>
        </w:tc>
        <w:tc>
          <w:tcPr>
            <w:tcW w:type="dxa" w:w="6480"/>
            <w:tcBorders>
              <w:top w:val="single" w:color="D0D5E0" w:sz="1"/>
              <w:left w:val="single" w:color="D0D5E0" w:sz="1"/>
              <w:bottom w:val="single" w:color="D0D5E0" w:sz="1"/>
              <w:right w:val="single" w:color="D0D5E0" w:sz="1"/>
            </w:tcBorders>
            <w:shd w:fill="FFFFFF" w:val="clear"/>
            <w:tcMar>
              <w:top w:type="dxa" w:w="120"/>
              <w:left w:type="dxa" w:w="160"/>
              <w:bottom w:type="dxa" w:w="120"/>
              <w:right w:type="dxa" w:w="140"/>
            </w:tcMar>
          </w:tcPr>
          <w:p>
            <w:r>
              <w:rPr>
                <w:rFonts w:ascii="Arial" w:cs="Arial" w:eastAsia="Arial" w:hAnsi="Arial"/>
                <w:color w:val="4A5568"/>
                <w:sz w:val="20"/>
                <w:szCs w:val="20"/>
              </w:rPr>
              <w:t xml:space="preserve">Clean and shape raw data in Power Query — handle nulls, standardise date formats, normalise region and category fields, and form a clean star schema.</w:t>
            </w:r>
          </w:p>
        </w:tc>
      </w:tr>
      <w:tr>
        <w:tc>
          <w:tcPr>
            <w:tcW w:type="dxa" w:w="1200"/>
            <w:tcBorders>
              <w:top w:val="single" w:color="D0D5E0" w:sz="1"/>
              <w:left w:val="single" w:color="D0D5E0" w:sz="1"/>
              <w:bottom w:val="single" w:color="D0D5E0" w:sz="1"/>
              <w:right w:val="single" w:color="D0D5E0" w:sz="1"/>
            </w:tcBorders>
            <w:shd w:fill="C8902A" w:val="clear"/>
            <w:tcMar>
              <w:top w:type="dxa" w:w="120"/>
              <w:left w:type="dxa" w:w="140"/>
              <w:bottom w:type="dxa" w:w="120"/>
              <w:right w:type="dxa" w:w="140"/>
            </w:tcMar>
            <w:vAlign w:val="center"/>
          </w:tcPr>
          <w:p>
            <w:pPr>
              <w:jc w:val="center"/>
            </w:pPr>
            <w:r>
              <w:rPr>
                <w:rFonts w:ascii="Arial" w:cs="Arial" w:eastAsia="Arial" w:hAnsi="Arial"/>
                <w:b/>
                <w:bCs/>
                <w:color w:val="FFFFFF"/>
                <w:sz w:val="26"/>
                <w:szCs w:val="26"/>
              </w:rPr>
              <w:t xml:space="preserve">03</w:t>
            </w:r>
          </w:p>
        </w:tc>
        <w:tc>
          <w:tcPr>
            <w:tcW w:type="dxa" w:w="2400"/>
            <w:tcBorders>
              <w:top w:val="single" w:color="D0D5E0" w:sz="1"/>
              <w:left w:val="single" w:color="D0D5E0" w:sz="1"/>
              <w:bottom w:val="single" w:color="D0D5E0" w:sz="1"/>
              <w:right w:val="single" w:color="D0D5E0" w:sz="1"/>
            </w:tcBorders>
            <w:shd w:fill="1B2A4A" w:val="clear"/>
            <w:tcMar>
              <w:top w:type="dxa" w:w="120"/>
              <w:left w:type="dxa" w:w="160"/>
              <w:bottom w:type="dxa" w:w="120"/>
              <w:right w:type="dxa" w:w="140"/>
            </w:tcMar>
            <w:vAlign w:val="center"/>
          </w:tcPr>
          <w:p>
            <w:r>
              <w:rPr>
                <w:rFonts w:ascii="Arial" w:cs="Arial" w:eastAsia="Arial" w:hAnsi="Arial"/>
                <w:b/>
                <w:bCs/>
                <w:color w:val="FFFFFF"/>
                <w:sz w:val="20"/>
                <w:szCs w:val="20"/>
              </w:rPr>
              <w:t xml:space="preserve">Data Model &amp; Relationships</w:t>
            </w:r>
          </w:p>
        </w:tc>
        <w:tc>
          <w:tcPr>
            <w:tcW w:type="dxa" w:w="6480"/>
            <w:tcBorders>
              <w:top w:val="single" w:color="D0D5E0" w:sz="1"/>
              <w:left w:val="single" w:color="D0D5E0" w:sz="1"/>
              <w:bottom w:val="single" w:color="D0D5E0" w:sz="1"/>
              <w:right w:val="single" w:color="D0D5E0" w:sz="1"/>
            </w:tcBorders>
            <w:shd w:fill="F5F7FA" w:val="clear"/>
            <w:tcMar>
              <w:top w:type="dxa" w:w="120"/>
              <w:left w:type="dxa" w:w="160"/>
              <w:bottom w:type="dxa" w:w="120"/>
              <w:right w:type="dxa" w:w="140"/>
            </w:tcMar>
          </w:tcPr>
          <w:p>
            <w:r>
              <w:rPr>
                <w:rFonts w:ascii="Arial" w:cs="Arial" w:eastAsia="Arial" w:hAnsi="Arial"/>
                <w:color w:val="4A5568"/>
                <w:sz w:val="20"/>
                <w:szCs w:val="20"/>
              </w:rPr>
              <w:t xml:space="preserve">Define one-to-many relationships between the Fact Sales table and all Dimension tables using DrugID, SupplierID, and SalesRepID keys with correct filter direction.</w:t>
            </w:r>
          </w:p>
        </w:tc>
      </w:tr>
      <w:tr>
        <w:tc>
          <w:tcPr>
            <w:tcW w:type="dxa" w:w="1200"/>
            <w:tcBorders>
              <w:top w:val="single" w:color="D0D5E0" w:sz="1"/>
              <w:left w:val="single" w:color="D0D5E0" w:sz="1"/>
              <w:bottom w:val="single" w:color="D0D5E0" w:sz="1"/>
              <w:right w:val="single" w:color="D0D5E0" w:sz="1"/>
            </w:tcBorders>
            <w:shd w:fill="C8902A" w:val="clear"/>
            <w:tcMar>
              <w:top w:type="dxa" w:w="120"/>
              <w:left w:type="dxa" w:w="140"/>
              <w:bottom w:type="dxa" w:w="120"/>
              <w:right w:type="dxa" w:w="140"/>
            </w:tcMar>
            <w:vAlign w:val="center"/>
          </w:tcPr>
          <w:p>
            <w:pPr>
              <w:jc w:val="center"/>
            </w:pPr>
            <w:r>
              <w:rPr>
                <w:rFonts w:ascii="Arial" w:cs="Arial" w:eastAsia="Arial" w:hAnsi="Arial"/>
                <w:b/>
                <w:bCs/>
                <w:color w:val="FFFFFF"/>
                <w:sz w:val="26"/>
                <w:szCs w:val="26"/>
              </w:rPr>
              <w:t xml:space="preserve">04</w:t>
            </w:r>
          </w:p>
        </w:tc>
        <w:tc>
          <w:tcPr>
            <w:tcW w:type="dxa" w:w="2400"/>
            <w:tcBorders>
              <w:top w:val="single" w:color="D0D5E0" w:sz="1"/>
              <w:left w:val="single" w:color="D0D5E0" w:sz="1"/>
              <w:bottom w:val="single" w:color="D0D5E0" w:sz="1"/>
              <w:right w:val="single" w:color="D0D5E0" w:sz="1"/>
            </w:tcBorders>
            <w:shd w:fill="253555" w:val="clear"/>
            <w:tcMar>
              <w:top w:type="dxa" w:w="120"/>
              <w:left w:type="dxa" w:w="160"/>
              <w:bottom w:type="dxa" w:w="120"/>
              <w:right w:type="dxa" w:w="140"/>
            </w:tcMar>
            <w:vAlign w:val="center"/>
          </w:tcPr>
          <w:p>
            <w:r>
              <w:rPr>
                <w:rFonts w:ascii="Arial" w:cs="Arial" w:eastAsia="Arial" w:hAnsi="Arial"/>
                <w:b/>
                <w:bCs/>
                <w:color w:val="FFFFFF"/>
                <w:sz w:val="20"/>
                <w:szCs w:val="20"/>
              </w:rPr>
              <w:t xml:space="preserve">DAX Measures</w:t>
            </w:r>
          </w:p>
        </w:tc>
        <w:tc>
          <w:tcPr>
            <w:tcW w:type="dxa" w:w="6480"/>
            <w:tcBorders>
              <w:top w:val="single" w:color="D0D5E0" w:sz="1"/>
              <w:left w:val="single" w:color="D0D5E0" w:sz="1"/>
              <w:bottom w:val="single" w:color="D0D5E0" w:sz="1"/>
              <w:right w:val="single" w:color="D0D5E0" w:sz="1"/>
            </w:tcBorders>
            <w:shd w:fill="FFFFFF" w:val="clear"/>
            <w:tcMar>
              <w:top w:type="dxa" w:w="120"/>
              <w:left w:type="dxa" w:w="160"/>
              <w:bottom w:type="dxa" w:w="120"/>
              <w:right w:type="dxa" w:w="140"/>
            </w:tcMar>
          </w:tcPr>
          <w:p>
            <w:r>
              <w:rPr>
                <w:rFonts w:ascii="Arial" w:cs="Arial" w:eastAsia="Arial" w:hAnsi="Arial"/>
                <w:color w:val="4A5568"/>
                <w:sz w:val="20"/>
                <w:szCs w:val="20"/>
              </w:rPr>
              <w:t xml:space="preserve">Author all KPI measures using DAX — including DATEADD, TOTALYTD, SAMEPERIODLASTYEAR, SUMX, AVERAGEX, CALCULATE, and FILTER for dynamic reporting.</w:t>
            </w:r>
          </w:p>
        </w:tc>
      </w:tr>
      <w:tr>
        <w:tc>
          <w:tcPr>
            <w:tcW w:type="dxa" w:w="1200"/>
            <w:tcBorders>
              <w:top w:val="single" w:color="D0D5E0" w:sz="1"/>
              <w:left w:val="single" w:color="D0D5E0" w:sz="1"/>
              <w:bottom w:val="single" w:color="D0D5E0" w:sz="1"/>
              <w:right w:val="single" w:color="D0D5E0" w:sz="1"/>
            </w:tcBorders>
            <w:shd w:fill="C8902A" w:val="clear"/>
            <w:tcMar>
              <w:top w:type="dxa" w:w="120"/>
              <w:left w:type="dxa" w:w="140"/>
              <w:bottom w:type="dxa" w:w="120"/>
              <w:right w:type="dxa" w:w="140"/>
            </w:tcMar>
            <w:vAlign w:val="center"/>
          </w:tcPr>
          <w:p>
            <w:pPr>
              <w:jc w:val="center"/>
            </w:pPr>
            <w:r>
              <w:rPr>
                <w:rFonts w:ascii="Arial" w:cs="Arial" w:eastAsia="Arial" w:hAnsi="Arial"/>
                <w:b/>
                <w:bCs/>
                <w:color w:val="FFFFFF"/>
                <w:sz w:val="26"/>
                <w:szCs w:val="26"/>
              </w:rPr>
              <w:t xml:space="preserve">05</w:t>
            </w:r>
          </w:p>
        </w:tc>
        <w:tc>
          <w:tcPr>
            <w:tcW w:type="dxa" w:w="2400"/>
            <w:tcBorders>
              <w:top w:val="single" w:color="D0D5E0" w:sz="1"/>
              <w:left w:val="single" w:color="D0D5E0" w:sz="1"/>
              <w:bottom w:val="single" w:color="D0D5E0" w:sz="1"/>
              <w:right w:val="single" w:color="D0D5E0" w:sz="1"/>
            </w:tcBorders>
            <w:shd w:fill="1B2A4A" w:val="clear"/>
            <w:tcMar>
              <w:top w:type="dxa" w:w="120"/>
              <w:left w:type="dxa" w:w="160"/>
              <w:bottom w:type="dxa" w:w="120"/>
              <w:right w:type="dxa" w:w="140"/>
            </w:tcMar>
            <w:vAlign w:val="center"/>
          </w:tcPr>
          <w:p>
            <w:r>
              <w:rPr>
                <w:rFonts w:ascii="Arial" w:cs="Arial" w:eastAsia="Arial" w:hAnsi="Arial"/>
                <w:b/>
                <w:bCs/>
                <w:color w:val="FFFFFF"/>
                <w:sz w:val="20"/>
                <w:szCs w:val="20"/>
              </w:rPr>
              <w:t xml:space="preserve">Dashboard Design</w:t>
            </w:r>
          </w:p>
        </w:tc>
        <w:tc>
          <w:tcPr>
            <w:tcW w:type="dxa" w:w="6480"/>
            <w:tcBorders>
              <w:top w:val="single" w:color="D0D5E0" w:sz="1"/>
              <w:left w:val="single" w:color="D0D5E0" w:sz="1"/>
              <w:bottom w:val="single" w:color="D0D5E0" w:sz="1"/>
              <w:right w:val="single" w:color="D0D5E0" w:sz="1"/>
            </w:tcBorders>
            <w:shd w:fill="F5F7FA" w:val="clear"/>
            <w:tcMar>
              <w:top w:type="dxa" w:w="120"/>
              <w:left w:type="dxa" w:w="160"/>
              <w:bottom w:type="dxa" w:w="120"/>
              <w:right w:type="dxa" w:w="140"/>
            </w:tcMar>
          </w:tcPr>
          <w:p>
            <w:r>
              <w:rPr>
                <w:rFonts w:ascii="Arial" w:cs="Arial" w:eastAsia="Arial" w:hAnsi="Arial"/>
                <w:color w:val="4A5568"/>
                <w:sz w:val="20"/>
                <w:szCs w:val="20"/>
              </w:rPr>
              <w:t xml:space="preserve">Build interactive pages covering Sales Overview, Regional Performance, Drug Analysis, Supplier Scorecard, and Inventory Status with slicers and drill-through.</w:t>
            </w:r>
          </w:p>
        </w:tc>
      </w:tr>
      <w:tr>
        <w:tc>
          <w:tcPr>
            <w:tcW w:type="dxa" w:w="1200"/>
            <w:tcBorders>
              <w:top w:val="single" w:color="D0D5E0" w:sz="1"/>
              <w:left w:val="single" w:color="D0D5E0" w:sz="1"/>
              <w:bottom w:val="single" w:color="D0D5E0" w:sz="1"/>
              <w:right w:val="single" w:color="D0D5E0" w:sz="1"/>
            </w:tcBorders>
            <w:shd w:fill="C8902A" w:val="clear"/>
            <w:tcMar>
              <w:top w:type="dxa" w:w="120"/>
              <w:left w:type="dxa" w:w="140"/>
              <w:bottom w:type="dxa" w:w="120"/>
              <w:right w:type="dxa" w:w="140"/>
            </w:tcMar>
            <w:vAlign w:val="center"/>
          </w:tcPr>
          <w:p>
            <w:pPr>
              <w:jc w:val="center"/>
            </w:pPr>
            <w:r>
              <w:rPr>
                <w:rFonts w:ascii="Arial" w:cs="Arial" w:eastAsia="Arial" w:hAnsi="Arial"/>
                <w:b/>
                <w:bCs/>
                <w:color w:val="FFFFFF"/>
                <w:sz w:val="26"/>
                <w:szCs w:val="26"/>
              </w:rPr>
              <w:t xml:space="preserve">06</w:t>
            </w:r>
          </w:p>
        </w:tc>
        <w:tc>
          <w:tcPr>
            <w:tcW w:type="dxa" w:w="2400"/>
            <w:tcBorders>
              <w:top w:val="single" w:color="D0D5E0" w:sz="1"/>
              <w:left w:val="single" w:color="D0D5E0" w:sz="1"/>
              <w:bottom w:val="single" w:color="D0D5E0" w:sz="1"/>
              <w:right w:val="single" w:color="D0D5E0" w:sz="1"/>
            </w:tcBorders>
            <w:shd w:fill="253555" w:val="clear"/>
            <w:tcMar>
              <w:top w:type="dxa" w:w="120"/>
              <w:left w:type="dxa" w:w="160"/>
              <w:bottom w:type="dxa" w:w="120"/>
              <w:right w:type="dxa" w:w="140"/>
            </w:tcMar>
            <w:vAlign w:val="center"/>
          </w:tcPr>
          <w:p>
            <w:r>
              <w:rPr>
                <w:rFonts w:ascii="Arial" w:cs="Arial" w:eastAsia="Arial" w:hAnsi="Arial"/>
                <w:b/>
                <w:bCs/>
                <w:color w:val="FFFFFF"/>
                <w:sz w:val="20"/>
                <w:szCs w:val="20"/>
              </w:rPr>
              <w:t xml:space="preserve">Automated Refresh Setup</w:t>
            </w:r>
          </w:p>
        </w:tc>
        <w:tc>
          <w:tcPr>
            <w:tcW w:type="dxa" w:w="6480"/>
            <w:tcBorders>
              <w:top w:val="single" w:color="D0D5E0" w:sz="1"/>
              <w:left w:val="single" w:color="D0D5E0" w:sz="1"/>
              <w:bottom w:val="single" w:color="D0D5E0" w:sz="1"/>
              <w:right w:val="single" w:color="D0D5E0" w:sz="1"/>
            </w:tcBorders>
            <w:shd w:fill="FFFFFF" w:val="clear"/>
            <w:tcMar>
              <w:top w:type="dxa" w:w="120"/>
              <w:left w:type="dxa" w:w="160"/>
              <w:bottom w:type="dxa" w:w="120"/>
              <w:right w:type="dxa" w:w="140"/>
            </w:tcMar>
          </w:tcPr>
          <w:p>
            <w:r>
              <w:rPr>
                <w:rFonts w:ascii="Arial" w:cs="Arial" w:eastAsia="Arial" w:hAnsi="Arial"/>
                <w:color w:val="4A5568"/>
                <w:sz w:val="20"/>
                <w:szCs w:val="20"/>
              </w:rPr>
              <w:t xml:space="preserve">Publish to Power BI Service and configure a scheduled daily refresh via data gateway (on-premise) or direct cloud connector for always-current data.</w:t>
            </w:r>
          </w:p>
        </w:tc>
      </w:tr>
    </w:tbl>
    <w:p>
      <w:pPr>
        <w:spacing w:before="0" w:after="3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02A" w:sz="4"/>
              <w:left w:val="single" w:color="D0D5E0" w:sz="1"/>
              <w:bottom w:val="single" w:color="D0D5E0" w:sz="1"/>
              <w:right w:val="single" w:color="D0D5E0" w:sz="1"/>
            </w:tcBorders>
            <w:shd w:fill="F5F7FA" w:val="clear"/>
            <w:tcMar>
              <w:top w:type="dxa" w:w="200"/>
              <w:left w:type="dxa" w:w="280"/>
              <w:bottom w:type="dxa" w:w="200"/>
              <w:right w:type="dxa" w:w="280"/>
            </w:tcMar>
          </w:tcPr>
          <w:p>
            <w:pPr>
              <w:spacing w:before="0" w:after="100"/>
            </w:pPr>
            <w:r>
              <w:rPr>
                <w:rFonts w:ascii="Arial" w:cs="Arial" w:eastAsia="Arial" w:hAnsi="Arial"/>
                <w:b/>
                <w:bCs/>
                <w:color w:val="1B2A4A"/>
                <w:sz w:val="22"/>
                <w:szCs w:val="22"/>
              </w:rPr>
              <w:t xml:space="preserve">Document Information</w:t>
            </w:r>
          </w:p>
          <w:p>
            <w:pPr>
              <w:spacing w:before="0" w:after="0"/>
            </w:pPr>
            <w:r>
              <w:rPr>
                <w:rFonts w:ascii="Arial" w:cs="Arial" w:eastAsia="Arial" w:hAnsi="Arial"/>
                <w:b/>
                <w:bCs/>
                <w:color w:val="1B2A4A"/>
                <w:sz w:val="20"/>
                <w:szCs w:val="20"/>
              </w:rPr>
              <w:t xml:space="preserve">Document ID: </w:t>
            </w:r>
            <w:r>
              <w:rPr>
                <w:rFonts w:ascii="Arial" w:cs="Arial" w:eastAsia="Arial" w:hAnsi="Arial"/>
                <w:color w:val="4A5568"/>
                <w:sz w:val="20"/>
                <w:szCs w:val="20"/>
              </w:rPr>
              <w:t xml:space="preserve">RPT-001     </w:t>
            </w:r>
            <w:r>
              <w:rPr>
                <w:rFonts w:ascii="Arial" w:cs="Arial" w:eastAsia="Arial" w:hAnsi="Arial"/>
                <w:b/>
                <w:bCs/>
                <w:color w:val="1B2A4A"/>
                <w:sz w:val="20"/>
                <w:szCs w:val="20"/>
              </w:rPr>
              <w:t xml:space="preserve">Version: </w:t>
            </w:r>
            <w:r>
              <w:rPr>
                <w:rFonts w:ascii="Arial" w:cs="Arial" w:eastAsia="Arial" w:hAnsi="Arial"/>
                <w:color w:val="4A5568"/>
                <w:sz w:val="20"/>
                <w:szCs w:val="20"/>
              </w:rPr>
              <w:t xml:space="preserve">1.0     </w:t>
            </w:r>
            <w:r>
              <w:rPr>
                <w:rFonts w:ascii="Arial" w:cs="Arial" w:eastAsia="Arial" w:hAnsi="Arial"/>
                <w:b/>
                <w:bCs/>
                <w:color w:val="1B2A4A"/>
                <w:sz w:val="20"/>
                <w:szCs w:val="20"/>
              </w:rPr>
              <w:t xml:space="preserve">Client: </w:t>
            </w:r>
            <w:r>
              <w:rPr>
                <w:rFonts w:ascii="Arial" w:cs="Arial" w:eastAsia="Arial" w:hAnsi="Arial"/>
                <w:color w:val="4A5568"/>
                <w:sz w:val="20"/>
                <w:szCs w:val="20"/>
              </w:rPr>
              <w:t xml:space="preserve">Kipla Pharmaceuticals     </w:t>
            </w:r>
            <w:r>
              <w:rPr>
                <w:rFonts w:ascii="Arial" w:cs="Arial" w:eastAsia="Arial" w:hAnsi="Arial"/>
                <w:b/>
                <w:bCs/>
                <w:color w:val="1B2A4A"/>
                <w:sz w:val="20"/>
                <w:szCs w:val="20"/>
              </w:rPr>
              <w:t xml:space="preserve">Classification: </w:t>
            </w:r>
            <w:r>
              <w:rPr>
                <w:rFonts w:ascii="Arial" w:cs="Arial" w:eastAsia="Arial" w:hAnsi="Arial"/>
                <w:color w:val="4A5568"/>
                <w:sz w:val="20"/>
                <w:szCs w:val="20"/>
              </w:rPr>
              <w:t xml:space="preserve">Confidential</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E0" w:sz="2" w:space="1"/>
      </w:pBdr>
      <w:tabs>
        <w:tab w:val="right" w:pos="9026"/>
      </w:tabs>
      <w:spacing w:before="80"/>
    </w:pPr>
    <w:r>
      <w:rPr>
        <w:rFonts w:ascii="Arial" w:cs="Arial" w:eastAsia="Arial" w:hAnsi="Arial"/>
        <w:color w:val="7A849A"/>
        <w:sz w:val="16"/>
        <w:szCs w:val="16"/>
      </w:rPr>
      <w:t xml:space="preserve">RPT-001  |  Confidential  |  2024</w:t>
    </w:r>
    <w:r>
      <w:rPr>
        <w:rFonts w:ascii="Arial" w:cs="Arial" w:eastAsia="Arial" w:hAnsi="Arial"/>
        <w:color w:val="7A849A"/>
        <w:sz w:val="16"/>
        <w:szCs w:val="16"/>
      </w:rPr>
      <w:t xml:space="preserve">	Page </w:t>
    </w:r>
    <w:r>
      <w:rPr>
        <w:rFonts w:ascii="Arial" w:cs="Arial" w:eastAsia="Arial" w:hAnsi="Arial"/>
        <w:color w:val="7A84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single" w:color="C8902A" w:sz="2"/>
            <w:right w:val="none" w:color="FFFFFF" w:sz="0"/>
          </w:tcBorders>
          <w:tcMar>
            <w:top w:type="dxa" w:w="0"/>
            <w:left w:type="dxa" w:w="0"/>
            <w:bottom w:type="dxa" w:w="80"/>
            <w:right w:type="dxa" w:w="0"/>
          </w:tcMar>
        </w:tcPr>
        <w:p>
          <w:r>
            <w:rPr>
              <w:rFonts w:ascii="Arial" w:cs="Arial" w:eastAsia="Arial" w:hAnsi="Arial"/>
              <w:b w:val="false"/>
              <w:bCs w:val="false"/>
              <w:color w:val="7A849A"/>
              <w:sz w:val="16"/>
              <w:szCs w:val="16"/>
            </w:rPr>
            <w:t xml:space="preserve">PHARMA SALES ANALYTICS DASHBOARD  |  USE CASE DOCUMENT</w:t>
          </w:r>
        </w:p>
      </w:tc>
      <w:tc>
        <w:tcPr>
          <w:tcW w:type="dxa" w:w="3080"/>
          <w:tcBorders>
            <w:top w:val="none" w:color="FFFFFF" w:sz="0"/>
            <w:left w:val="none" w:color="FFFFFF" w:sz="0"/>
            <w:bottom w:val="single" w:color="C8902A" w:sz="2"/>
            <w:right w:val="none" w:color="FFFFFF" w:sz="0"/>
          </w:tcBorders>
          <w:tcMar>
            <w:top w:type="dxa" w:w="0"/>
            <w:left w:type="dxa" w:w="0"/>
            <w:bottom w:type="dxa" w:w="80"/>
            <w:right w:type="dxa" w:w="0"/>
          </w:tcMar>
        </w:tcPr>
        <w:p>
          <w:pPr>
            <w:jc w:val="right"/>
          </w:pPr>
          <w:r>
            <w:rPr>
              <w:rFonts w:ascii="Arial" w:cs="Arial" w:eastAsia="Arial" w:hAnsi="Arial"/>
              <w:b/>
              <w:bCs/>
              <w:color w:val="C8902A"/>
              <w:sz w:val="16"/>
              <w:szCs w:val="16"/>
            </w:rPr>
            <w:t xml:space="preserve">Kipla Pharmaceuticals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2026-03-12T14:50:38.156Z</dcterms:created>
  <dcterms:modified xsi:type="dcterms:W3CDTF">2026-03-12T14:50:38.157Z</dcterms:modified>
</cp:coreProperties>
</file>

<file path=docProps/custom.xml><?xml version="1.0" encoding="utf-8"?>
<Properties xmlns="http://schemas.openxmlformats.org/officeDocument/2006/custom-properties" xmlns:vt="http://schemas.openxmlformats.org/officeDocument/2006/docPropsVTypes"/>
</file>