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ascii="Arial" w:hAnsi="Arial" w:cs="Arial"/>
          <w:color w:themeColor="accent2" w:val="ED7D31"/>
          <w:sz w:val="24"/>
          <w:szCs w:val="24"/>
        </w:rPr>
      </w:pPr>
      <w:r>
        <w:rPr>
          <w:rFonts w:cs="Arial" w:ascii="Arial" w:hAnsi="Arial"/>
          <w:color w:themeColor="accent2" w:val="ED7D31"/>
          <w:sz w:val="24"/>
          <w:szCs w:val="24"/>
        </w:rPr>
      </w:r>
    </w:p>
    <w:p>
      <w:pPr>
        <w:pStyle w:val="Normal"/>
        <w:jc w:val="center"/>
        <w:rPr>
          <w:sz w:val="28"/>
          <w:szCs w:val="28"/>
        </w:rPr>
      </w:pPr>
      <w:r>
        <w:drawing>
          <wp:anchor behindDoc="0" distT="114300" distB="114300" distL="114300" distR="114300" simplePos="0" locked="0" layoutInCell="0" allowOverlap="1" relativeHeight="2">
            <wp:simplePos x="0" y="0"/>
            <wp:positionH relativeFrom="column">
              <wp:posOffset>-251460</wp:posOffset>
            </wp:positionH>
            <wp:positionV relativeFrom="paragraph">
              <wp:posOffset>152400</wp:posOffset>
            </wp:positionV>
            <wp:extent cx="1238250" cy="1390650"/>
            <wp:effectExtent l="0" t="0" r="0" b="0"/>
            <wp:wrapSquare wrapText="bothSides"/>
            <wp:docPr id="1" name="Imagen 180626115" descr="Imagen que contiene dibujo, alimentos, taz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80626115" descr="Imagen que contiene dibujo, alimentos, taz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390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114300" distB="114300" distL="114300" distR="114300" simplePos="0" locked="0" layoutInCell="0" allowOverlap="1" relativeHeight="3">
            <wp:simplePos x="0" y="0"/>
            <wp:positionH relativeFrom="column">
              <wp:posOffset>5029200</wp:posOffset>
            </wp:positionH>
            <wp:positionV relativeFrom="paragraph">
              <wp:posOffset>314325</wp:posOffset>
            </wp:positionV>
            <wp:extent cx="1285875" cy="1228725"/>
            <wp:effectExtent l="0" t="0" r="0" b="0"/>
            <wp:wrapSquare wrapText="bothSides"/>
            <wp:docPr id="2" name="Imagen 1133470571" descr="Imagen que contiene alimentos, taz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133470571" descr="Imagen que contiene alimentos, taz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22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UNIVERSIDAD NACIONAL AUTÓNOMA DE MÉXICO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FACULTAD DE INGENIERÍA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DIVISIÓN DE INGENIERÍA ELÉCTRICA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INGENIERÍA EN COMPUTACIÓN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LABORATORIO DE COMPUTACIÓN GRÁFICA e INTERACCIÓN HUMANO COMPUTADORA</w:t>
      </w:r>
    </w:p>
    <w:p>
      <w:pPr>
        <w:pStyle w:val="NormalWeb"/>
        <w:spacing w:before="280" w:after="280"/>
        <w:jc w:val="right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</w:r>
    </w:p>
    <w:p>
      <w:pPr>
        <w:pStyle w:val="NormalWeb"/>
        <w:spacing w:before="280" w:after="280"/>
        <w:jc w:val="right"/>
        <w:rPr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REPORTE DE PRÁCTICA Nº 06</w:t>
      </w:r>
      <w:r>
        <w:rPr>
          <w:color w:val="000000"/>
          <w:sz w:val="36"/>
          <w:szCs w:val="36"/>
        </w:rPr>
      </w:r>
    </w:p>
    <w:p>
      <w:pPr>
        <w:pStyle w:val="NormalWeb"/>
        <w:spacing w:before="280" w:after="280"/>
        <w:jc w:val="right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</w:r>
    </w:p>
    <w:p>
      <w:pPr>
        <w:pStyle w:val="NormalWeb"/>
        <w:spacing w:lineRule="auto" w:line="360" w:before="280" w:after="28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NOMBRE COMPLETO: Tapia Verastegui Venancio Miguel</w:t>
      </w:r>
      <w:r>
        <w:rPr>
          <w:color w:val="000000"/>
          <w:sz w:val="32"/>
          <w:szCs w:val="32"/>
        </w:rPr>
      </w:r>
      <w:r>
        <w:rPr>
          <w:b/>
          <w:bCs/>
          <w:color w:val="000000"/>
          <w:sz w:val="32"/>
          <w:szCs w:val="32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color w:val="000000"/>
          <w:sz w:val="32"/>
          <w:szCs w:val="32"/>
        </w:rPr>
        <w:t>Nº de Cuenta: 320324187</w:t>
      </w:r>
      <w:r>
        <w:rPr>
          <w:rFonts w:cs="Times New Roman" w:ascii="Times New Roman" w:hAnsi="Times New Roman"/>
          <w:color w:val="000000"/>
          <w:sz w:val="32"/>
          <w:szCs w:val="32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GRUPO DE LABORATORIO: 02</w:t>
      </w: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GRUPO DE TEORÍA: 06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SEMESTRE 2027-1</w:t>
      </w: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NormalWeb"/>
        <w:spacing w:lineRule="auto" w:line="360" w:before="280" w:after="28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FECHA DE ENTREGA LÍMITE: 04/10/2026</w:t>
      </w:r>
    </w:p>
    <w:p>
      <w:pPr>
        <w:pStyle w:val="NormalWeb"/>
        <w:spacing w:lineRule="auto" w:line="360" w:before="280" w:after="280"/>
        <w:jc w:val="right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</w:r>
    </w:p>
    <w:p>
      <w:pPr>
        <w:pStyle w:val="NormalWeb"/>
        <w:spacing w:lineRule="auto" w:line="360" w:before="280" w:after="280"/>
        <w:jc w:val="right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</w:r>
    </w:p>
    <w:p>
      <w:pPr>
        <w:pStyle w:val="NormalWeb"/>
        <w:spacing w:lineRule="auto" w:line="360" w:before="280" w:after="280"/>
        <w:jc w:val="right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CALIFICACIÓN: ________</w:t>
      </w:r>
    </w:p>
    <w:p>
      <w:pPr>
        <w:pStyle w:val="Normal"/>
        <w:jc w:val="both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sz w:val="32"/>
          <w:szCs w:val="32"/>
        </w:rPr>
      </w:r>
    </w:p>
    <w:p>
      <w:pPr>
        <w:pStyle w:val="Normal"/>
        <w:jc w:val="both"/>
        <w:rPr>
          <w:rFonts w:ascii="Arial" w:hAnsi="Arial" w:cs="Arial"/>
          <w:color w:themeColor="accent2" w:val="ED7D31"/>
          <w:sz w:val="24"/>
          <w:szCs w:val="24"/>
        </w:rPr>
      </w:pPr>
      <w:r>
        <w:rPr>
          <w:rFonts w:cs="Arial" w:ascii="Arial" w:hAnsi="Arial"/>
          <w:color w:themeColor="accent2" w:val="ED7D31"/>
          <w:sz w:val="24"/>
          <w:szCs w:val="24"/>
        </w:rPr>
      </w:r>
    </w:p>
    <w:p>
      <w:pPr>
        <w:pStyle w:val="Normal"/>
        <w:jc w:val="both"/>
        <w:rPr>
          <w:rFonts w:ascii="Arial" w:hAnsi="Arial" w:cs="Arial"/>
          <w:color w:themeColor="accent2" w:val="ED7D31"/>
          <w:sz w:val="24"/>
          <w:szCs w:val="24"/>
        </w:rPr>
      </w:pPr>
      <w:r>
        <w:rPr>
          <w:rFonts w:cs="Arial" w:ascii="Arial" w:hAnsi="Arial"/>
          <w:color w:themeColor="accent2" w:val="ED7D31"/>
          <w:sz w:val="24"/>
          <w:szCs w:val="24"/>
        </w:rPr>
      </w:r>
    </w:p>
    <w:p>
      <w:pPr>
        <w:pStyle w:val="Normal"/>
        <w:jc w:val="both"/>
        <w:rPr>
          <w:rFonts w:ascii="Arial" w:hAnsi="Arial" w:cs="Arial"/>
          <w:color w:themeColor="accent2" w:val="ED7D31"/>
          <w:sz w:val="24"/>
          <w:szCs w:val="24"/>
        </w:rPr>
      </w:pPr>
      <w:r>
        <w:rPr>
          <w:rFonts w:cs="Arial" w:ascii="Arial" w:hAnsi="Arial"/>
          <w:color w:themeColor="accent2" w:val="ED7D31"/>
          <w:sz w:val="24"/>
          <w:szCs w:val="24"/>
        </w:rPr>
        <w:t>REPORTE DE PRÁCTICA: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1.- Ejecución de los ejercicios que se dejaron, comentar cada uno y capturas de pantalla de bloques de código generados y de ejecución del programa.</w:t>
      </w:r>
    </w:p>
    <w:p>
      <w:pPr>
        <w:pageBreakBefore w:val="0"/>
        <w:spacing w:after="160" w:line="259" w:lineRule="auto"/>
        <w:jc w:val="both"/>
      </w:pPr>
      <w:r>
        <w:rPr>
          <w:rFonts w:ascii="Arial" w:hAnsi="Arial"/>
          <w:b/>
          <w:sz w:val="24"/>
        </w:rPr>
        <w:t>Ejercicio 1. Holocron texturizado por código</w:t>
      </w:r>
    </w:p>
    <w:p>
      <w:pPr>
        <w:pageBreakBefore w:val="0"/>
        <w:spacing w:after="160" w:line="259" w:lineRule="auto"/>
        <w:jc w:val="both"/>
      </w:pPr>
      <w:r>
        <w:rPr>
          <w:rFonts w:ascii="Arial" w:hAnsi="Arial"/>
          <w:b w:val="0"/>
          <w:sz w:val="24"/>
        </w:rPr>
        <w:t>Se utilizó la geometría del holocron de los archivos de la práctica. Tiene 14 superficies: 6 principales y 8 triangulares. En C++ se asignó una región del atlas a cada superficie para que todas tengan textura, incluyendo las pequeñas. Las imágenes se acomodaron en GIMP y se guardaron en un PNG.</w:t>
      </w:r>
    </w:p>
    <w:p>
      <w:pPr>
        <w:keepNext/>
        <w:pageBreakBefore w:val="0"/>
        <w:spacing w:after="160" w:line="259" w:lineRule="auto"/>
        <w:jc w:val="center"/>
      </w:pPr>
      <w:r>
        <w:rPr>
          <w:rFonts w:ascii="Arial" w:hAnsi="Arial"/>
          <w:b w:val="0"/>
          <w:sz w:val="24"/>
        </w:rPr>
      </w:r>
      <w:r>
        <w:drawing>
          <wp:inline xmlns:a="http://schemas.openxmlformats.org/drawingml/2006/main">
            <wp:extent cx="5486400" cy="29946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igo-holocr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4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after="160" w:line="259" w:lineRule="auto"/>
        <w:jc w:val="center"/>
      </w:pPr>
      <w:r>
        <w:rPr>
          <w:rFonts w:ascii="Arial" w:hAnsi="Arial"/>
          <w:b w:val="0"/>
          <w:sz w:val="20"/>
        </w:rPr>
        <w:t>Figura 1. Coordenadas UV y creación de la malla en Visual Studio.</w:t>
      </w:r>
    </w:p>
    <w:p>
      <w:pPr>
        <w:pageBreakBefore w:val="0"/>
        <w:spacing w:after="160" w:line="259" w:lineRule="auto"/>
        <w:jc w:val="both"/>
      </w:pPr>
      <w:r>
        <w:rPr>
          <w:rFonts w:ascii="Arial" w:hAnsi="Arial"/>
          <w:b w:val="0"/>
          <w:sz w:val="24"/>
        </w:rPr>
        <w:t>La función CrearHolocron recorre los triángulos, calcula las normales y las coordenadas UV. Después guarda posición, UV y normal de cada vértice y crea la malla que se dibuja en OpenGL.</w:t>
      </w:r>
    </w:p>
    <w:p>
      <w:pPr>
        <w:keepNext/>
        <w:pageBreakBefore w:val="0"/>
        <w:spacing w:after="160" w:line="259" w:lineRule="auto"/>
        <w:jc w:val="center"/>
      </w:pPr>
      <w:r>
        <w:rPr>
          <w:rFonts w:ascii="Arial" w:hAnsi="Arial"/>
          <w:b w:val="0"/>
          <w:sz w:val="24"/>
        </w:rPr>
      </w:r>
      <w:r>
        <w:drawing>
          <wp:inline xmlns:a="http://schemas.openxmlformats.org/drawingml/2006/main">
            <wp:extent cx="5029200" cy="3185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6-320324187-cuatro-vist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85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after="160" w:line="259" w:lineRule="auto"/>
        <w:jc w:val="center"/>
      </w:pPr>
      <w:r>
        <w:rPr>
          <w:rFonts w:ascii="Arial" w:hAnsi="Arial"/>
          <w:b w:val="0"/>
          <w:sz w:val="20"/>
        </w:rPr>
        <w:t>Figura 2. Vistas de comprobación del texturizado de los holocrones.</w:t>
      </w:r>
    </w:p>
    <w:p>
      <w:pPr>
        <w:pageBreakBefore/>
        <w:spacing w:after="160" w:line="259" w:lineRule="auto"/>
        <w:jc w:val="both"/>
      </w:pPr>
      <w:r>
        <w:rPr>
          <w:rFonts w:ascii="Arial" w:hAnsi="Arial"/>
          <w:b/>
          <w:sz w:val="24"/>
        </w:rPr>
        <w:t>Ejercicio 2. Holocron importado de Blender</w:t>
      </w:r>
    </w:p>
    <w:p>
      <w:pPr>
        <w:pageBreakBefore w:val="0"/>
        <w:spacing w:after="160" w:line="259" w:lineRule="auto"/>
        <w:jc w:val="both"/>
      </w:pPr>
      <w:r>
        <w:rPr>
          <w:rFonts w:ascii="Arial" w:hAnsi="Arial"/>
          <w:b w:val="0"/>
          <w:sz w:val="24"/>
        </w:rPr>
        <w:t>El segundo holocron se preparó en Blender con su mapa UV y el material de imagen. Se exportó como OBJ con su archivo MTL y se cargó en el proyecto de Visual Studio. Así se muestran los dos holocrones dentro de la misma escena: uno construido por código y otro importado.</w:t>
      </w:r>
    </w:p>
    <w:p>
      <w:pPr>
        <w:keepNext/>
        <w:pageBreakBefore w:val="0"/>
        <w:spacing w:after="160" w:line="259" w:lineRule="auto"/>
        <w:jc w:val="center"/>
      </w:pPr>
      <w:r>
        <w:rPr>
          <w:rFonts w:ascii="Arial" w:hAnsi="Arial"/>
          <w:b w:val="0"/>
          <w:sz w:val="24"/>
        </w:rPr>
      </w:r>
      <w:r>
        <w:drawing>
          <wp:inline xmlns:a="http://schemas.openxmlformats.org/drawingml/2006/main">
            <wp:extent cx="5486400" cy="29946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igo-importac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4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after="160" w:line="259" w:lineRule="auto"/>
        <w:jc w:val="center"/>
      </w:pPr>
      <w:r>
        <w:rPr>
          <w:rFonts w:ascii="Arial" w:hAnsi="Arial"/>
          <w:b w:val="0"/>
          <w:sz w:val="20"/>
        </w:rPr>
        <w:t>Figura 3. Carga de los modelos OBJ y de las texturas del proyecto.</w:t>
      </w:r>
    </w:p>
    <w:p>
      <w:pPr>
        <w:keepNext/>
        <w:pageBreakBefore w:val="0"/>
        <w:spacing w:after="160" w:line="259" w:lineRule="auto"/>
        <w:jc w:val="center"/>
      </w:pPr>
      <w:r>
        <w:rPr>
          <w:rFonts w:ascii="Arial" w:hAnsi="Arial"/>
          <w:b w:val="0"/>
          <w:sz w:val="24"/>
        </w:rPr>
      </w:r>
      <w:r>
        <w:drawing>
          <wp:inline xmlns:a="http://schemas.openxmlformats.org/drawingml/2006/main">
            <wp:extent cx="4572000" cy="40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6-320324187-Blen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after="160" w:line="259" w:lineRule="auto"/>
        <w:jc w:val="center"/>
      </w:pPr>
      <w:r>
        <w:rPr>
          <w:rFonts w:ascii="Arial" w:hAnsi="Arial"/>
          <w:b w:val="0"/>
          <w:sz w:val="20"/>
        </w:rPr>
        <w:t>Figura 4. Vista del holocron preparado en Blender.</w:t>
      </w:r>
    </w:p>
    <w:p>
      <w:pPr>
        <w:pageBreakBefore w:val="0"/>
        <w:spacing w:after="160" w:line="259" w:lineRule="auto"/>
        <w:jc w:val="both"/>
      </w:pPr>
      <w:r>
        <w:rPr>
          <w:rFonts w:ascii="Arial" w:hAnsi="Arial"/>
          <w:b w:val="0"/>
          <w:sz w:val="24"/>
        </w:rPr>
        <w:t>El OBJ conserva las coordenadas UV. El material MTL indica qué imagen se utiliza; por eso se entregan juntos el modelo, el material y el atlas. Al dibujarlo se aplican traslación y escala para colocarlo detrás de los cubos.</w:t>
      </w:r>
    </w:p>
    <w:p>
      <w:pPr>
        <w:pageBreakBefore/>
        <w:spacing w:after="160" w:line="259" w:lineRule="auto"/>
        <w:jc w:val="both"/>
      </w:pPr>
      <w:r>
        <w:rPr>
          <w:rFonts w:ascii="Arial" w:hAnsi="Arial"/>
          <w:b/>
          <w:sz w:val="24"/>
        </w:rPr>
        <w:t>Ejercicio 3. Avión con textura del personaje</w:t>
      </w:r>
    </w:p>
    <w:p>
      <w:pPr>
        <w:pageBreakBefore w:val="0"/>
        <w:spacing w:after="160" w:line="259" w:lineRule="auto"/>
        <w:jc w:val="both"/>
      </w:pPr>
      <w:r>
        <w:rPr>
          <w:rFonts w:ascii="Arial" w:hAnsi="Arial"/>
          <w:b w:val="0"/>
          <w:sz w:val="24"/>
        </w:rPr>
        <w:t>Se importó el avión sencillo del ZIP de E06. La textura se dividió en zonas: ojos en el vidrio frontal, nariz y sonrisa en la parte delantera y los emblemas de estrella de la referencia en las dos alas principales. El resto del avión se dejó azul para mantener el diseño sencillo.</w:t>
      </w:r>
    </w:p>
    <w:p>
      <w:pPr>
        <w:keepNext/>
        <w:pageBreakBefore w:val="0"/>
        <w:spacing w:after="160" w:line="259" w:lineRule="auto"/>
        <w:jc w:val="center"/>
      </w:pPr>
      <w:r>
        <w:rPr>
          <w:rFonts w:ascii="Arial" w:hAnsi="Arial"/>
          <w:b w:val="0"/>
          <w:sz w:val="24"/>
        </w:rPr>
      </w:r>
      <w:r>
        <w:drawing>
          <wp:inline xmlns:a="http://schemas.openxmlformats.org/drawingml/2006/main">
            <wp:extent cx="4937760" cy="39502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-320324187-av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95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after="160" w:line="259" w:lineRule="auto"/>
        <w:jc w:val="center"/>
      </w:pPr>
      <w:r>
        <w:rPr>
          <w:rFonts w:ascii="Arial" w:hAnsi="Arial"/>
          <w:b w:val="0"/>
          <w:sz w:val="20"/>
        </w:rPr>
        <w:t>Figura 5. Vista del modelo del avión con sus texturas.</w:t>
      </w:r>
    </w:p>
    <w:p>
      <w:pPr>
        <w:pageBreakBefore w:val="0"/>
        <w:spacing w:after="160" w:line="259" w:lineRule="auto"/>
        <w:jc w:val="both"/>
      </w:pPr>
      <w:r>
        <w:rPr>
          <w:rFonts w:ascii="Arial" w:hAnsi="Arial"/>
          <w:b w:val="0"/>
          <w:sz w:val="24"/>
        </w:rPr>
        <w:t>En GIMP se ajustó el tamaño de los ojos y los emblemas para evitar que se vieran estirados. En el mapa UV del modelo se asignó cada zona a la parte que corresponde. El modelo se carga con Avion_M.LoadModel y se dibuja con Avion_M.RenderModel.</w:t>
      </w:r>
    </w:p>
    <w:p>
      <w:pPr>
        <w:keepNext/>
        <w:pageBreakBefore w:val="0"/>
        <w:spacing w:after="160" w:line="259" w:lineRule="auto"/>
        <w:jc w:val="center"/>
      </w:pPr>
      <w:r>
        <w:rPr>
          <w:rFonts w:ascii="Arial" w:hAnsi="Arial"/>
          <w:b w:val="0"/>
          <w:sz w:val="24"/>
        </w:rPr>
      </w:r>
      <w:r>
        <w:drawing>
          <wp:inline xmlns:a="http://schemas.openxmlformats.org/drawingml/2006/main">
            <wp:extent cx="5486400" cy="308459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-320324187-escen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after="160" w:line="259" w:lineRule="auto"/>
        <w:jc w:val="center"/>
      </w:pPr>
      <w:r>
        <w:rPr>
          <w:rFonts w:ascii="Arial" w:hAnsi="Arial"/>
          <w:b w:val="0"/>
          <w:sz w:val="20"/>
        </w:rPr>
        <w:t>Figura 6. Ejecución en OpenGL: cubos, holocrones y avión en la escena original.</w:t>
      </w:r>
    </w:p>
    <w:p>
      <w:pPr>
        <w:pageBreakBefore w:val="0"/>
        <w:spacing w:after="160" w:line="259" w:lineRule="auto"/>
        <w:jc w:val="both"/>
      </w:pPr>
      <w:r>
        <w:rPr>
          <w:rFonts w:ascii="Arial" w:hAnsi="Arial"/>
          <w:b w:val="0"/>
          <w:sz w:val="24"/>
        </w:rPr>
        <w:t>Se conservaron el piso y el skybox. La cámara permite recorrer la escena con WASD y mirar con el mouse. Espacio sube, Ctrl baja y Shift aumenta la velocidad. Tab libera o captura el mouse y Esc cierra el programa.</w:t>
      </w:r>
    </w:p>
    <w:p>
      <w:pPr>
        <w:pStyle w:val="Normal"/>
        <w:pageBreakBefore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2.- Liste los problemas que tuvo a la hora de hacer estos ejercicios y si los resolvió explicar cómo fue, en caso de error adjuntar captura de pantalla</w:t>
      </w:r>
    </w:p>
    <w:p>
      <w:pPr>
        <w:pageBreakBefore w:val="0"/>
        <w:spacing w:after="160" w:line="259" w:lineRule="auto"/>
        <w:jc w:val="both"/>
      </w:pPr>
      <w:r>
        <w:rPr>
          <w:rFonts w:ascii="Arial" w:hAnsi="Arial"/>
          <w:b w:val="0"/>
          <w:sz w:val="24"/>
        </w:rPr>
        <w:t>1. Algunas superficies del holocron no tenían una región de textura. Se revisó la geometría y se asignaron UV a las 14 superficies, en lugar de considerar solamente las seis principales.</w:t>
      </w:r>
    </w:p>
    <w:p>
      <w:pPr>
        <w:pageBreakBefore w:val="0"/>
        <w:spacing w:after="160" w:line="259" w:lineRule="auto"/>
        <w:jc w:val="both"/>
      </w:pPr>
      <w:r>
        <w:rPr>
          <w:rFonts w:ascii="Arial" w:hAnsi="Arial"/>
          <w:b w:val="0"/>
          <w:sz w:val="24"/>
        </w:rPr>
        <w:t>2. Al importar el modelo, la textura no se aplicaba correctamente. Se corrigió la comprobación del índice del material en Model.cpp y se enlazó la textura correspondiente antes de dibujar cada malla.</w:t>
      </w:r>
    </w:p>
    <w:p>
      <w:pPr>
        <w:pageBreakBefore w:val="0"/>
        <w:spacing w:after="160" w:line="259" w:lineRule="auto"/>
        <w:jc w:val="both"/>
      </w:pPr>
      <w:r>
        <w:rPr>
          <w:rFonts w:ascii="Arial" w:hAnsi="Arial"/>
          <w:b w:val="0"/>
          <w:sz w:val="24"/>
        </w:rPr>
        <w:t>3. Los ojos y los logos del avión se deformaban por la proporción de las superficies. Se ajustaron sus dimensiones en GIMP y se revisaron las coordenadas UV.</w:t>
      </w:r>
    </w:p>
    <w:p>
      <w:pPr>
        <w:pageBreakBefore w:val="0"/>
        <w:spacing w:after="160" w:line="259" w:lineRule="auto"/>
        <w:jc w:val="both"/>
      </w:pPr>
      <w:r>
        <w:rPr>
          <w:rFonts w:ascii="Arial" w:hAnsi="Arial"/>
          <w:b w:val="0"/>
          <w:sz w:val="24"/>
        </w:rPr>
        <w:t>4. Para integrar los modelos se mantuvo como base el proyecto de los dos cubos. Se ajustaron las posiciones de los holocrones y del avión para que se puedan observar sin cambiar el piso ni el skybox.</w:t>
      </w:r>
    </w:p>
    <w:p>
      <w:pPr>
        <w:pageBreakBefore w:val="0"/>
        <w:spacing w:after="160" w:line="259" w:lineRule="auto"/>
        <w:jc w:val="both"/>
      </w:pPr>
      <w:r>
        <w:rPr>
          <w:rFonts w:ascii="Arial" w:hAnsi="Arial"/>
          <w:b w:val="0"/>
          <w:sz w:val="24"/>
        </w:rPr>
        <w:t>Después de los ajustes, el proyecto compiló en Release x64 y la ejecución mostró los modelos con sus texturas. No se incluyen capturas de errores porque no se conservó evidencia visual de esas pruebas.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3.- Conclusión:</w:t>
      </w:r>
    </w:p>
    <w:p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Los ejercicios del reporte: Complejidad, Explicación.</w:t>
      </w:r>
    </w:p>
    <w:p>
      <w:pPr>
        <w:pageBreakBefore w:val="0"/>
        <w:spacing w:after="160" w:line="259" w:lineRule="auto"/>
        <w:jc w:val="both"/>
      </w:pPr>
      <w:r>
        <w:rPr>
          <w:rFonts w:ascii="Arial" w:hAnsi="Arial"/>
          <w:b w:val="0"/>
          <w:sz w:val="24"/>
        </w:rPr>
        <w:t>El ejercicio más complejo fue acomodar las imágenes sobre las caras del holocron y las partes del avión. No basta con cargar el PNG: las coordenadas UV deben indicar qué zona se muestra en cada superficie. La importación del OBJ fue más directa una vez que el material y las rutas estaban correctos.</w:t>
      </w:r>
    </w:p>
    <w:p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Comentarios generales: Faltó explicar a detalle, ir más lento en alguna explicación, otros comentarios y </w:t>
      </w:r>
      <w:r>
        <w:rPr>
          <w:rFonts w:cs="Arial" w:ascii="Arial" w:hAnsi="Arial"/>
          <w:color w:val="000000"/>
          <w:sz w:val="24"/>
          <w:szCs w:val="24"/>
        </w:rPr>
        <w:t>sugerencias para mejorar desarrollo de la práctica</w:t>
      </w:r>
    </w:p>
    <w:p>
      <w:pPr>
        <w:pageBreakBefore w:val="0"/>
        <w:spacing w:after="160" w:line="259" w:lineRule="auto"/>
        <w:jc w:val="both"/>
      </w:pPr>
      <w:r>
        <w:rPr>
          <w:rFonts w:ascii="Arial" w:hAnsi="Arial"/>
          <w:b w:val="0"/>
          <w:sz w:val="24"/>
        </w:rPr>
        <w:t>Como sugerencia, serviría revisar un ejemplo completo del recorrido de una textura desde GIMP y Blender hasta el proyecto de C++, sobre todo las rutas del OBJ, MTL y PNG.</w:t>
      </w:r>
    </w:p>
    <w:p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  <w:t>Conclusión</w:t>
      </w:r>
    </w:p>
    <w:p>
      <w:pPr>
        <w:pageBreakBefore w:val="0"/>
        <w:spacing w:after="160" w:line="259" w:lineRule="auto"/>
        <w:jc w:val="both"/>
      </w:pPr>
      <w:r>
        <w:rPr>
          <w:rFonts w:ascii="Arial" w:hAnsi="Arial"/>
          <w:b w:val="0"/>
          <w:sz w:val="24"/>
        </w:rPr>
        <w:t>En esta práctica se aplicaron texturas por código y mediante un modelo importado. Los dos métodos permiten mostrar imágenes sobre una malla, pero ambos necesitan UV correctas. La escena final reúne los cubos, los dos holocrones y el avión, y se puede recorrer con la cámara.</w:t>
      </w:r>
    </w:p>
    <w:p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  <w:t>Bibliografía en formato APA</w:t>
      </w:r>
    </w:p>
    <w:p>
      <w:pPr>
        <w:pageBreakBefore w:val="0"/>
        <w:spacing w:after="160" w:line="259" w:lineRule="auto"/>
        <w:jc w:val="both"/>
      </w:pPr>
      <w:r>
        <w:rPr>
          <w:rFonts w:ascii="Arial" w:hAnsi="Arial"/>
          <w:b w:val="0"/>
          <w:sz w:val="24"/>
        </w:rPr>
        <w:t>Blender Foundation. (s. f.). UV Editor. Blender Manual. https://docs.blender.org/manual/en/latest/editors/uv/index.html</w:t>
      </w:r>
    </w:p>
    <w:p>
      <w:pPr>
        <w:pageBreakBefore w:val="0"/>
        <w:spacing w:after="160" w:line="259" w:lineRule="auto"/>
        <w:jc w:val="both"/>
      </w:pPr>
      <w:r>
        <w:rPr>
          <w:rFonts w:ascii="Arial" w:hAnsi="Arial"/>
          <w:b w:val="0"/>
          <w:sz w:val="24"/>
        </w:rPr>
        <w:t>The GIMP Documentation Team. (s. f.). Scale Layer. GIMP User Manual. https://docs.gimp.org/2.10/en/gimp-layer-scale.html</w:t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lowerLetter"/>
      <w:lvlText w:val="%1."/>
      <w:lvlJc w:val="left"/>
      <w:pPr>
        <w:tabs>
          <w:tab w:val="num" w:pos="0"/>
        </w:tabs>
        <w:ind w:left="144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MX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MX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ae2ec8"/>
    <w:rPr>
      <w:color w:themeColor="hyperlink" w:val="0563C1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cb5b50"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ae2ec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MX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Application>LibreOffice/25.2.5.2$Windows_X86_64 LibreOffice_project/03d19516eb2e1dd5d4ccd751a0d6f35f35e08022</Application>
  <AppVersion>15.0000</AppVersion>
  <Pages>2</Pages>
  <Words>147</Words>
  <Characters>813</Characters>
  <CharactersWithSpaces>938</CharactersWithSpaces>
  <Paragraphs>22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2016-08-17T00:07:00Z</dcterms:created>
  <dc:creator>CGIH01</dc:creator>
  <dc:description/>
  <dc:language>es-MX</dc:language>
  <cp:lastModifiedBy/>
  <dcterms:modified xsi:type="dcterms:W3CDTF">2025-08-06T21:13:53Z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