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r>
        <w:rPr>
          <w:sz w:val="22"/>
          <w:szCs w:val="22"/>
        </w:rPr>
        <w:t xml:space="preserve"/>
      </w:r>
    </w:p>
    <w:p>
      <w:pPr>
        <w:jc w:val="center"/>
      </w:pPr>
      <w:r>
        <w:rPr>
          <w:b/>
          <w:bCs/>
          <w:color w:val="0A1628"/>
          <w:sz w:val="72"/>
          <w:szCs w:val="72"/>
        </w:rPr>
        <w:t xml:space="preserve">CBA</w:t>
      </w:r>
    </w:p>
    <w:p>
      <w:pPr>
        <w:jc w:val="center"/>
      </w:pPr>
      <w:r>
        <w:rPr>
          <w:b/>
          <w:bCs/>
          <w:color w:val="00C9A7"/>
          <w:sz w:val="36"/>
          <w:szCs w:val="36"/>
        </w:rPr>
        <w:t xml:space="preserve">Container Beach Adventures</w:t>
      </w:r>
    </w:p>
    <w:p>
      <w:pPr>
        <w:spacing w:before="200"/>
      </w:pPr>
    </w:p>
    <w:p>
      <w:pPr>
        <w:jc w:val="center"/>
      </w:pPr>
      <w:r>
        <w:rPr>
          <w:b/>
          <w:bCs/>
          <w:color w:val="0A1628"/>
          <w:sz w:val="48"/>
          <w:szCs w:val="48"/>
        </w:rPr>
        <w:t xml:space="preserve">PLAN DE NEGOCIO</w:t>
      </w:r>
    </w:p>
    <w:p>
      <w:pPr>
        <w:spacing w:before="200"/>
      </w:pPr>
    </w:p>
    <w:p>
      <w:pPr>
        <w:jc w:val="center"/>
      </w:pPr>
      <w:r>
        <w:rPr>
          <w:color w:val="555555"/>
          <w:sz w:val="28"/>
          <w:szCs w:val="28"/>
        </w:rPr>
        <w:t xml:space="preserve">Plataforma de Turismo Receptivo de Alto Impacto</w:t>
      </w:r>
    </w:p>
    <w:p>
      <w:pPr>
        <w:spacing w:before="100"/>
      </w:pPr>
    </w:p>
    <w:p>
      <w:pPr>
        <w:jc w:val="center"/>
      </w:pPr>
      <w:r>
        <w:rPr>
          <w:color w:val="555555"/>
          <w:sz w:val="24"/>
          <w:szCs w:val="24"/>
        </w:rPr>
        <w:t xml:space="preserve">Morón, Carabobo, Venezuela</w:t>
      </w:r>
    </w:p>
    <w:p>
      <w:pPr>
        <w:spacing w:before="100"/>
      </w:pPr>
    </w:p>
    <w:p>
      <w:pPr>
        <w:jc w:val="center"/>
      </w:pPr>
      <w:r>
        <w:rPr>
          <w:color w:val="888888"/>
          <w:sz w:val="22"/>
          <w:szCs w:val="22"/>
        </w:rPr>
        <w:t xml:space="preserve">Versión 1.0 | Abril 2026</w:t>
      </w:r>
    </w:p>
    <w:p>
      <w:pPr>
        <w:spacing w:before="100"/>
      </w:pPr>
    </w:p>
    <w:p>
      <w:pPr>
        <w:jc w:val="center"/>
      </w:pPr>
      <w:r>
        <w:rPr>
          <w:color w:val="888888"/>
          <w:sz w:val="22"/>
          <w:szCs w:val="22"/>
        </w:rPr>
        <w:t xml:space="preserve">Preparado por: Alfonso E. Grammatica Rivero</w:t>
      </w:r>
    </w:p>
    <w:p>
      <w:r>
        <w:br w:type="page"/>
      </w:r>
    </w:p>
    <w:p>
      <w:pPr>
        <w:pStyle w:val="Heading1"/>
        <w:spacing w:after="200" w:before="400"/>
      </w:pPr>
      <w:r>
        <w:rPr>
          <w:b/>
          <w:bCs/>
          <w:color w:val="0A1628"/>
          <w:sz w:val="32"/>
          <w:szCs w:val="32"/>
        </w:rPr>
        <w:t xml:space="preserve">1. RESUMEN EJECUTIVO</w:t>
      </w:r>
    </w:p>
    <w:p>
      <w:pPr>
        <w:pBdr>
          <w:bottom w:val="single" w:color="00C9A7" w:sz="4" w:space="1"/>
        </w:pBdr>
        <w:spacing w:after="200" w:before="200"/>
      </w:pPr>
    </w:p>
    <w:p>
      <w:pPr>
        <w:spacing w:after="100" w:before="100"/>
        <w:jc w:val="both"/>
      </w:pPr>
      <w:r>
        <w:rPr>
          <w:sz w:val="22"/>
          <w:szCs w:val="22"/>
        </w:rPr>
        <w:t xml:space="preserve">Container Beach Adventures (CBA) es una plataforma de turismo receptivo de alta gama ubicada en Morón, Carabobo, Venezuela. El proyecto consiste en un complejo híbrido de 2,000 m² que integra alojamiento en contenedores reciclados de lujo, un taller metalúrgico de 800 m², deportes acuáticos y tours culturales orientados al mercado europeo de turismo de aventura.</w:t>
      </w:r>
    </w:p>
    <w:p>
      <w:pPr>
        <w:spacing w:before="100"/>
      </w:pPr>
    </w:p>
    <w:p>
      <w:pPr>
        <w:spacing w:after="100" w:before="100"/>
        <w:jc w:val="both"/>
      </w:pPr>
      <w:r>
        <w:rPr>
          <w:sz w:val="22"/>
          <w:szCs w:val="22"/>
        </w:rPr>
        <w:t xml:space="preserve">CBA se posiciona en la intersección de tres mega-tendencias globales: el crecimiento del turismo de aventura (+8% CAGR anual), el auge del turismo receptivo en Venezuela (+108% en 2024) y la creciente demanda de experiencias sostenibles por parte de viajeros europeos.</w:t>
      </w:r>
    </w:p>
    <w:p>
      <w:pPr>
        <w:spacing w:before="200"/>
      </w:pPr>
    </w:p>
    <w:p>
      <w:pPr>
        <w:pStyle w:val="Heading2"/>
        <w:spacing w:after="150" w:before="300"/>
      </w:pPr>
      <w:r>
        <w:rPr>
          <w:b/>
          <w:bCs/>
          <w:color w:val="00A389"/>
          <w:sz w:val="26"/>
          <w:szCs w:val="26"/>
        </w:rPr>
        <w:t xml:space="preserve">Métricas Clave del Proyecto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b/>
                <w:bCs/>
                <w:color w:val="FFFFFF"/>
                <w:sz w:val="20"/>
                <w:szCs w:val="20"/>
              </w:rPr>
              <w:t xml:space="preserve">Inversión requerida</w:t>
            </w:r>
          </w:p>
        </w:tc>
        <w:tc>
          <w:tcPr>
            <w:tcW w:type="dxa" w:w="4680"/>
            <w:tcBorders>
              <w:top w:val="single" w:color="0A1628" w:sz="1"/>
              <w:left w:val="single" w:color="0A1628" w:sz="1"/>
              <w:bottom w:val="single" w:color="0A1628" w:sz="1"/>
              <w:right w:val="single" w:color="0A1628" w:sz="1"/>
            </w:tcBorders>
            <w:shd w:fill="00C9A7" w:val="clear"/>
            <w:tcMar>
              <w:top w:type="dxa" w:w="80"/>
              <w:left w:type="dxa" w:w="120"/>
              <w:bottom w:type="dxa" w:w="80"/>
              <w:right w:type="dxa" w:w="120"/>
            </w:tcMar>
          </w:tcPr>
          <w:p>
            <w:r>
              <w:rPr>
                <w:b/>
                <w:bCs/>
                <w:color w:val="0A1628"/>
                <w:sz w:val="20"/>
                <w:szCs w:val="20"/>
              </w:rPr>
              <w:t xml:space="preserve">$100,000 — $130,000 USD</w:t>
            </w:r>
          </w:p>
        </w:tc>
      </w:tr>
      <w:tr>
        <w:tc>
          <w:tcPr>
            <w:tcW w:type="dxa" w:w="4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b/>
                <w:bCs/>
                <w:color w:val="FFFFFF"/>
                <w:sz w:val="20"/>
                <w:szCs w:val="20"/>
              </w:rPr>
              <w:t xml:space="preserve">Retorno de inversión</w:t>
            </w:r>
          </w:p>
        </w:tc>
        <w:tc>
          <w:tcPr>
            <w:tcW w:type="dxa" w:w="4680"/>
            <w:tcBorders>
              <w:top w:val="single" w:color="0A1628" w:sz="1"/>
              <w:left w:val="single" w:color="0A1628" w:sz="1"/>
              <w:bottom w:val="single" w:color="0A1628" w:sz="1"/>
              <w:right w:val="single" w:color="0A1628" w:sz="1"/>
            </w:tcBorders>
            <w:shd w:fill="00C9A7" w:val="clear"/>
            <w:tcMar>
              <w:top w:type="dxa" w:w="80"/>
              <w:left w:type="dxa" w:w="120"/>
              <w:bottom w:type="dxa" w:w="80"/>
              <w:right w:type="dxa" w:w="120"/>
            </w:tcMar>
          </w:tcPr>
          <w:p>
            <w:r>
              <w:rPr>
                <w:b/>
                <w:bCs/>
                <w:color w:val="0A1628"/>
                <w:sz w:val="20"/>
                <w:szCs w:val="20"/>
              </w:rPr>
              <w:t xml:space="preserve">24 meses (ocupación 60%)</w:t>
            </w:r>
          </w:p>
        </w:tc>
      </w:tr>
      <w:tr>
        <w:tc>
          <w:tcPr>
            <w:tcW w:type="dxa" w:w="4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b/>
                <w:bCs/>
                <w:color w:val="FFFFFF"/>
                <w:sz w:val="20"/>
                <w:szCs w:val="20"/>
              </w:rPr>
              <w:t xml:space="preserve">EBITDA anual proyectado</w:t>
            </w:r>
          </w:p>
        </w:tc>
        <w:tc>
          <w:tcPr>
            <w:tcW w:type="dxa" w:w="4680"/>
            <w:tcBorders>
              <w:top w:val="single" w:color="0A1628" w:sz="1"/>
              <w:left w:val="single" w:color="0A1628" w:sz="1"/>
              <w:bottom w:val="single" w:color="0A1628" w:sz="1"/>
              <w:right w:val="single" w:color="0A1628" w:sz="1"/>
            </w:tcBorders>
            <w:shd w:fill="00C9A7" w:val="clear"/>
            <w:tcMar>
              <w:top w:type="dxa" w:w="80"/>
              <w:left w:type="dxa" w:w="120"/>
              <w:bottom w:type="dxa" w:w="80"/>
              <w:right w:type="dxa" w:w="120"/>
            </w:tcMar>
          </w:tcPr>
          <w:p>
            <w:r>
              <w:rPr>
                <w:b/>
                <w:bCs/>
                <w:color w:val="0A1628"/>
                <w:sz w:val="20"/>
                <w:szCs w:val="20"/>
              </w:rPr>
              <w:t xml:space="preserve">$247,104 USD</w:t>
            </w:r>
          </w:p>
        </w:tc>
      </w:tr>
      <w:tr>
        <w:tc>
          <w:tcPr>
            <w:tcW w:type="dxa" w:w="4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b/>
                <w:bCs/>
                <w:color w:val="FFFFFF"/>
                <w:sz w:val="20"/>
                <w:szCs w:val="20"/>
              </w:rPr>
              <w:t xml:space="preserve">IRR proyectado</w:t>
            </w:r>
          </w:p>
        </w:tc>
        <w:tc>
          <w:tcPr>
            <w:tcW w:type="dxa" w:w="4680"/>
            <w:tcBorders>
              <w:top w:val="single" w:color="0A1628" w:sz="1"/>
              <w:left w:val="single" w:color="0A1628" w:sz="1"/>
              <w:bottom w:val="single" w:color="0A1628" w:sz="1"/>
              <w:right w:val="single" w:color="0A1628" w:sz="1"/>
            </w:tcBorders>
            <w:shd w:fill="00C9A7" w:val="clear"/>
            <w:tcMar>
              <w:top w:type="dxa" w:w="80"/>
              <w:left w:type="dxa" w:w="120"/>
              <w:bottom w:type="dxa" w:w="80"/>
              <w:right w:type="dxa" w:w="120"/>
            </w:tcMar>
          </w:tcPr>
          <w:p>
            <w:r>
              <w:rPr>
                <w:b/>
                <w:bCs/>
                <w:color w:val="0A1628"/>
                <w:sz w:val="20"/>
                <w:szCs w:val="20"/>
              </w:rPr>
              <w:t xml:space="preserve">38%</w:t>
            </w:r>
          </w:p>
        </w:tc>
      </w:tr>
      <w:tr>
        <w:tc>
          <w:tcPr>
            <w:tcW w:type="dxa" w:w="4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b/>
                <w:bCs/>
                <w:color w:val="FFFFFF"/>
                <w:sz w:val="20"/>
                <w:szCs w:val="20"/>
              </w:rPr>
              <w:t xml:space="preserve">NPV a 5 años (tasa 12%)</w:t>
            </w:r>
          </w:p>
        </w:tc>
        <w:tc>
          <w:tcPr>
            <w:tcW w:type="dxa" w:w="4680"/>
            <w:tcBorders>
              <w:top w:val="single" w:color="0A1628" w:sz="1"/>
              <w:left w:val="single" w:color="0A1628" w:sz="1"/>
              <w:bottom w:val="single" w:color="0A1628" w:sz="1"/>
              <w:right w:val="single" w:color="0A1628" w:sz="1"/>
            </w:tcBorders>
            <w:shd w:fill="00C9A7" w:val="clear"/>
            <w:tcMar>
              <w:top w:type="dxa" w:w="80"/>
              <w:left w:type="dxa" w:w="120"/>
              <w:bottom w:type="dxa" w:w="80"/>
              <w:right w:type="dxa" w:w="120"/>
            </w:tcMar>
          </w:tcPr>
          <w:p>
            <w:r>
              <w:rPr>
                <w:b/>
                <w:bCs/>
                <w:color w:val="0A1628"/>
                <w:sz w:val="20"/>
                <w:szCs w:val="20"/>
              </w:rPr>
              <w:t xml:space="preserve">$771,450 USD</w:t>
            </w:r>
          </w:p>
        </w:tc>
      </w:tr>
      <w:tr>
        <w:tc>
          <w:tcPr>
            <w:tcW w:type="dxa" w:w="4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b/>
                <w:bCs/>
                <w:color w:val="FFFFFF"/>
                <w:sz w:val="20"/>
                <w:szCs w:val="20"/>
              </w:rPr>
              <w:t xml:space="preserve">RevPAR</w:t>
            </w:r>
          </w:p>
        </w:tc>
        <w:tc>
          <w:tcPr>
            <w:tcW w:type="dxa" w:w="4680"/>
            <w:tcBorders>
              <w:top w:val="single" w:color="0A1628" w:sz="1"/>
              <w:left w:val="single" w:color="0A1628" w:sz="1"/>
              <w:bottom w:val="single" w:color="0A1628" w:sz="1"/>
              <w:right w:val="single" w:color="0A1628" w:sz="1"/>
            </w:tcBorders>
            <w:shd w:fill="00C9A7" w:val="clear"/>
            <w:tcMar>
              <w:top w:type="dxa" w:w="80"/>
              <w:left w:type="dxa" w:w="120"/>
              <w:bottom w:type="dxa" w:w="80"/>
              <w:right w:type="dxa" w:w="120"/>
            </w:tcMar>
          </w:tcPr>
          <w:p>
            <w:r>
              <w:rPr>
                <w:b/>
                <w:bCs/>
                <w:color w:val="0A1628"/>
                <w:sz w:val="20"/>
                <w:szCs w:val="20"/>
              </w:rPr>
              <w:t xml:space="preserve">$205 USD/contenedor/noche</w:t>
            </w:r>
          </w:p>
        </w:tc>
      </w:tr>
      <w:tr>
        <w:tc>
          <w:tcPr>
            <w:tcW w:type="dxa" w:w="4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b/>
                <w:bCs/>
                <w:color w:val="FFFFFF"/>
                <w:sz w:val="20"/>
                <w:szCs w:val="20"/>
              </w:rPr>
              <w:t xml:space="preserve">Socios fundadores</w:t>
            </w:r>
          </w:p>
        </w:tc>
        <w:tc>
          <w:tcPr>
            <w:tcW w:type="dxa" w:w="4680"/>
            <w:tcBorders>
              <w:top w:val="single" w:color="0A1628" w:sz="1"/>
              <w:left w:val="single" w:color="0A1628" w:sz="1"/>
              <w:bottom w:val="single" w:color="0A1628" w:sz="1"/>
              <w:right w:val="single" w:color="0A1628" w:sz="1"/>
            </w:tcBorders>
            <w:shd w:fill="00C9A7" w:val="clear"/>
            <w:tcMar>
              <w:top w:type="dxa" w:w="80"/>
              <w:left w:type="dxa" w:w="120"/>
              <w:bottom w:type="dxa" w:w="80"/>
              <w:right w:type="dxa" w:w="120"/>
            </w:tcMar>
          </w:tcPr>
          <w:p>
            <w:r>
              <w:rPr>
                <w:b/>
                <w:bCs/>
                <w:color w:val="0A1628"/>
                <w:sz w:val="20"/>
                <w:szCs w:val="20"/>
              </w:rPr>
              <w:t xml:space="preserve">4 socios</w:t>
            </w:r>
          </w:p>
        </w:tc>
      </w:tr>
      <w:tr>
        <w:tc>
          <w:tcPr>
            <w:tcW w:type="dxa" w:w="4680"/>
            <w:tcBorders>
              <w:top w:val="single" w:color="0A1628" w:sz="1"/>
              <w:left w:val="single" w:color="0A1628" w:sz="1"/>
              <w:bottom w:val="single" w:color="0A1628" w:sz="1"/>
              <w:right w:val="single" w:color="0A1628" w:sz="1"/>
            </w:tcBorders>
            <w:shd w:fill="0A1628" w:val="clear"/>
            <w:tcMar>
              <w:top w:type="dxa" w:w="80"/>
              <w:left w:type="dxa" w:w="120"/>
              <w:bottom w:type="dxa" w:w="80"/>
              <w:right w:type="dxa" w:w="120"/>
            </w:tcMar>
          </w:tcPr>
          <w:p>
            <w:r>
              <w:rPr>
                <w:b/>
                <w:bCs/>
                <w:color w:val="FFFFFF"/>
                <w:sz w:val="20"/>
                <w:szCs w:val="20"/>
              </w:rPr>
              <w:t xml:space="preserve">Empleos directos generados</w:t>
            </w:r>
          </w:p>
        </w:tc>
        <w:tc>
          <w:tcPr>
            <w:tcW w:type="dxa" w:w="4680"/>
            <w:tcBorders>
              <w:top w:val="single" w:color="0A1628" w:sz="1"/>
              <w:left w:val="single" w:color="0A1628" w:sz="1"/>
              <w:bottom w:val="single" w:color="0A1628" w:sz="1"/>
              <w:right w:val="single" w:color="0A1628" w:sz="1"/>
            </w:tcBorders>
            <w:shd w:fill="00C9A7" w:val="clear"/>
            <w:tcMar>
              <w:top w:type="dxa" w:w="80"/>
              <w:left w:type="dxa" w:w="120"/>
              <w:bottom w:type="dxa" w:w="80"/>
              <w:right w:type="dxa" w:w="120"/>
            </w:tcMar>
          </w:tcPr>
          <w:p>
            <w:r>
              <w:rPr>
                <w:b/>
                <w:bCs/>
                <w:color w:val="0A1628"/>
                <w:sz w:val="20"/>
                <w:szCs w:val="20"/>
              </w:rPr>
              <w:t xml:space="preserve">12-15 empleos locales</w:t>
            </w:r>
          </w:p>
        </w:tc>
      </w:tr>
    </w:tbl>
    <w:p>
      <w:r>
        <w:br w:type="page"/>
      </w:r>
    </w:p>
    <w:p>
      <w:pPr>
        <w:pStyle w:val="Heading1"/>
        <w:spacing w:after="200" w:before="400"/>
      </w:pPr>
      <w:r>
        <w:rPr>
          <w:b/>
          <w:bCs/>
          <w:color w:val="0A1628"/>
          <w:sz w:val="32"/>
          <w:szCs w:val="32"/>
        </w:rPr>
        <w:t xml:space="preserve">2. CONTEXTO DE MERCADO</w:t>
      </w:r>
    </w:p>
    <w:p>
      <w:pPr>
        <w:pBdr>
          <w:bottom w:val="single" w:color="00C9A7" w:sz="4" w:space="1"/>
        </w:pBdr>
        <w:spacing w:after="200" w:before="200"/>
      </w:pPr>
    </w:p>
    <w:p>
      <w:pPr>
        <w:pStyle w:val="Heading2"/>
        <w:spacing w:after="150" w:before="300"/>
      </w:pPr>
      <w:r>
        <w:rPr>
          <w:b/>
          <w:bCs/>
          <w:color w:val="00A389"/>
          <w:sz w:val="26"/>
          <w:szCs w:val="26"/>
        </w:rPr>
        <w:t xml:space="preserve">2.1 Mercado Global de Turismo de Aventura</w:t>
      </w:r>
    </w:p>
    <w:p>
      <w:pPr>
        <w:spacing w:after="100" w:before="100"/>
        <w:jc w:val="both"/>
      </w:pPr>
      <w:r>
        <w:rPr>
          <w:sz w:val="22"/>
          <w:szCs w:val="22"/>
        </w:rPr>
        <w:t xml:space="preserve">El turismo de aventura es uno de los segmentos de mayor crecimiento en la industria global de viajes. Con una valoración de USD 345.6 mil millones en 2025, se proyecta alcanzar USD 745.7 mil millones para 2035, expandiéndose a una tasa de crecimiento anual compuesto (CAGR) del 8.0%. Este crecimiento está impulsado por viajeros millennials y Gen Z que buscan experiencias auténticas, inmersivas y sostenibles más allá del turismo tradicional de sol y playa.</w:t>
      </w:r>
    </w:p>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Mercado global turismo aventura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345.6 mil millones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Proyección 2035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745.7 mil millones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CAGR 2025-2035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Segmento de mayor crecimiento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Reservas digitales (CAGR 13.4%)</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Turistas internacionales CAGR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12.6%</w:t>
            </w:r>
          </w:p>
        </w:tc>
      </w:tr>
    </w:tbl>
    <w:p>
      <w:pPr>
        <w:spacing w:before="200"/>
      </w:pPr>
    </w:p>
    <w:p>
      <w:pPr>
        <w:pStyle w:val="Heading2"/>
        <w:spacing w:after="150" w:before="300"/>
      </w:pPr>
      <w:r>
        <w:rPr>
          <w:b/>
          <w:bCs/>
          <w:color w:val="00A389"/>
          <w:sz w:val="26"/>
          <w:szCs w:val="26"/>
        </w:rPr>
        <w:t xml:space="preserve">2.2 Turismo en el Caribe</w:t>
      </w:r>
    </w:p>
    <w:p>
      <w:pPr>
        <w:spacing w:after="100" w:before="100"/>
        <w:jc w:val="both"/>
      </w:pPr>
      <w:r>
        <w:rPr>
          <w:sz w:val="22"/>
          <w:szCs w:val="22"/>
        </w:rPr>
        <w:t xml:space="preserve">El Caribe registró 34.2 millones de llegadas internacionales en 2024, un 6.1% más que en 2023 y un 6.9% por encima de los niveles pre-pandemia, consolidando su posición como destino de primera clase. La tasa de ocupación hotelera regional alcanzó el 66.6% con una tarifa diaria promedio (ADR) de USD $437. Para 2026 se proyecta un crecimiento adicional del 3-4% en llegadas y del 5-7% en cruceros.</w:t>
      </w:r>
    </w:p>
    <w:p>
      <w:pPr>
        <w:spacing w:before="150"/>
      </w:pPr>
    </w:p>
    <w:p>
      <w:pPr>
        <w:spacing w:after="100" w:before="100"/>
        <w:jc w:val="both"/>
      </w:pPr>
      <w:r>
        <w:rPr>
          <w:sz w:val="22"/>
          <w:szCs w:val="22"/>
        </w:rPr>
        <w:t xml:space="preserve">El mercado europeo representa 5.3 millones de viajeros al Caribe anualmente, con tendencia creciente hacia destinos alternativos y experiencias auténticas, lo que posiciona a Venezuela — y CBA en particular — como una oportunidad estratégica de alto potencial.</w:t>
      </w:r>
    </w:p>
    <w:p>
      <w:pPr>
        <w:spacing w:before="200"/>
      </w:pPr>
    </w:p>
    <w:p>
      <w:pPr>
        <w:pStyle w:val="Heading2"/>
        <w:spacing w:after="150" w:before="300"/>
      </w:pPr>
      <w:r>
        <w:rPr>
          <w:b/>
          <w:bCs/>
          <w:color w:val="00A389"/>
          <w:sz w:val="26"/>
          <w:szCs w:val="26"/>
        </w:rPr>
        <w:t xml:space="preserve">2.3 Venezuela como Destino Emergente</w:t>
      </w:r>
    </w:p>
    <w:p>
      <w:pPr>
        <w:spacing w:after="100" w:before="100"/>
        <w:jc w:val="both"/>
      </w:pPr>
      <w:r>
        <w:rPr>
          <w:sz w:val="22"/>
          <w:szCs w:val="22"/>
        </w:rPr>
        <w:t xml:space="preserve">Venezuela experimentó un crecimiento extraordinario del 108% en visitantes internacionales en 2024, alcanzando 1,588,000 turistas extranjeros. Este crecimiento refleja el esfuerzo gubernamental por diversificar la economía y posicionar al país como destino turístico multi-producto.</w:t>
      </w:r>
    </w:p>
    <w:p>
      <w:pPr>
        <w:spacing w:before="150"/>
      </w:pPr>
    </w:p>
    <w:p>
      <w:pPr>
        <w:spacing w:after="100" w:before="100"/>
        <w:jc w:val="both"/>
      </w:pPr>
      <w:r>
        <w:rPr>
          <w:sz w:val="22"/>
          <w:szCs w:val="22"/>
        </w:rPr>
        <w:t xml:space="preserve">Los principales mercados emisores hacia Venezuela son: Rusia, Polonia, Colombia, Portugal, Cuba e Irán, con creciente interés de Europa del Este y del mercado latinoamericano. CBA está estratégicamente posicionado para capturar este flujo creciente con una propuesta de valor diferenciada.</w:t>
      </w:r>
    </w:p>
    <w:p>
      <w:r>
        <w:br w:type="page"/>
      </w:r>
    </w:p>
    <w:p>
      <w:pPr>
        <w:pStyle w:val="Heading1"/>
        <w:spacing w:after="200" w:before="400"/>
      </w:pPr>
      <w:r>
        <w:rPr>
          <w:b/>
          <w:bCs/>
          <w:color w:val="0A1628"/>
          <w:sz w:val="32"/>
          <w:szCs w:val="32"/>
        </w:rPr>
        <w:t xml:space="preserve">3. ANÁLISIS DE MERCADO — TAM / SAM / SOM</w:t>
      </w:r>
    </w:p>
    <w:p>
      <w:pPr>
        <w:pBdr>
          <w:bottom w:val="single" w:color="00C9A7" w:sz="4" w:space="1"/>
        </w:pBdr>
        <w:spacing w:after="200" w:before="200"/>
      </w:pPr>
    </w:p>
    <w:p>
      <w:pPr>
        <w:spacing w:after="100" w:before="100"/>
        <w:jc w:val="both"/>
      </w:pPr>
      <w:r>
        <w:rPr>
          <w:sz w:val="22"/>
          <w:szCs w:val="22"/>
        </w:rPr>
        <w:t xml:space="preserve">El análisis TAM/SAM/SOM permite dimensionar el mercado objetivo de CBA y establecer proyecciones de captura realistas basadas en datos internacionales verificados.</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TAM — Mercado Total Disponible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345.6 mil millones (turismo aventura global 2025)</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SAM — Mercado Disponible para CBA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6.36 mil millones (turistas europeos Caribe × $1,200)</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SOM — Mercado Obtenible Año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449,280 (proyección conservadora 60% ocupación)</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SOM — Mercado Obtenible Año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748,800 (proyección 100% ocupación temporada alta)</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Penetración de mercado objetivo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0.001% del SAM (altamente conservador)</w:t>
            </w:r>
          </w:p>
        </w:tc>
      </w:tr>
    </w:tbl>
    <w:p>
      <w:r>
        <w:br w:type="page"/>
      </w:r>
    </w:p>
    <w:p>
      <w:pPr>
        <w:pStyle w:val="Heading1"/>
        <w:spacing w:after="200" w:before="400"/>
      </w:pPr>
      <w:r>
        <w:rPr>
          <w:b/>
          <w:bCs/>
          <w:color w:val="0A1628"/>
          <w:sz w:val="32"/>
          <w:szCs w:val="32"/>
        </w:rPr>
        <w:t xml:space="preserve">4. PROPUESTA DE VALOR</w:t>
      </w:r>
    </w:p>
    <w:p>
      <w:pPr>
        <w:pBdr>
          <w:bottom w:val="single" w:color="00C9A7" w:sz="4" w:space="1"/>
        </w:pBdr>
        <w:spacing w:after="200" w:before="200"/>
      </w:pPr>
    </w:p>
    <w:p>
      <w:pPr>
        <w:pStyle w:val="Heading2"/>
        <w:spacing w:after="150" w:before="300"/>
      </w:pPr>
      <w:r>
        <w:rPr>
          <w:b/>
          <w:bCs/>
          <w:color w:val="00A389"/>
          <w:sz w:val="26"/>
          <w:szCs w:val="26"/>
        </w:rPr>
        <w:t xml:space="preserve">4.1 El Complejo CBA</w:t>
      </w:r>
    </w:p>
    <w:p>
      <w:pPr>
        <w:spacing w:after="100" w:before="100"/>
        <w:jc w:val="both"/>
      </w:pPr>
      <w:r>
        <w:rPr>
          <w:sz w:val="22"/>
          <w:szCs w:val="22"/>
        </w:rPr>
        <w:t xml:space="preserve">CBA ofrece una experiencia turística única que combina lo industrial y lo natural: contenedores de acero reciclados transformados en alojamientos de lujo frente al mar Caribe, integrados con un taller metalúrgico operativo de 800 m² donde los visitantes pueden participar en workshops industriales. Esta propuesta es imposible de replicar en otros destinos del Caribe, generando una ventaja competitiva sostenible.</w:t>
      </w:r>
    </w:p>
    <w:p>
      <w:pPr>
        <w:spacing w:before="200"/>
      </w:pPr>
    </w:p>
    <w:p>
      <w:pPr>
        <w:pStyle w:val="Heading2"/>
        <w:spacing w:after="150" w:before="300"/>
      </w:pPr>
      <w:r>
        <w:rPr>
          <w:b/>
          <w:bCs/>
          <w:color w:val="00A389"/>
          <w:sz w:val="26"/>
          <w:szCs w:val="26"/>
        </w:rPr>
        <w:t xml:space="preserve">4.2 Experiencias Ofrecidas</w:t>
      </w:r>
    </w:p>
    <w:p>
      <w:pPr>
        <w:pStyle w:val="ListParagraph"/>
        <w:numPr>
          <w:ilvl w:val="0"/>
          <w:numId w:val="2"/>
        </w:numPr>
        <w:spacing w:after="60" w:before="60"/>
      </w:pPr>
      <w:r>
        <w:rPr>
          <w:sz w:val="22"/>
          <w:szCs w:val="22"/>
        </w:rPr>
        <w:t xml:space="preserve">Deportes acuáticos: surf, kayak, paddleboard y snorkel</w:t>
      </w:r>
    </w:p>
    <w:p>
      <w:pPr>
        <w:pStyle w:val="ListParagraph"/>
        <w:numPr>
          <w:ilvl w:val="0"/>
          <w:numId w:val="2"/>
        </w:numPr>
        <w:spacing w:after="60" w:before="60"/>
      </w:pPr>
      <w:r>
        <w:rPr>
          <w:sz w:val="22"/>
          <w:szCs w:val="22"/>
        </w:rPr>
        <w:t xml:space="preserve">Taller industrial: workshops de soldadura y fabricación para visitantes</w:t>
      </w:r>
    </w:p>
    <w:p>
      <w:pPr>
        <w:pStyle w:val="ListParagraph"/>
        <w:numPr>
          <w:ilvl w:val="0"/>
          <w:numId w:val="2"/>
        </w:numPr>
        <w:spacing w:after="60" w:before="60"/>
      </w:pPr>
      <w:r>
        <w:rPr>
          <w:sz w:val="22"/>
          <w:szCs w:val="22"/>
        </w:rPr>
        <w:t xml:space="preserve">Tours culturales por pueblos costeros venezolanos</w:t>
      </w:r>
    </w:p>
    <w:p>
      <w:pPr>
        <w:pStyle w:val="ListParagraph"/>
        <w:numPr>
          <w:ilvl w:val="0"/>
          <w:numId w:val="2"/>
        </w:numPr>
        <w:spacing w:after="60" w:before="60"/>
      </w:pPr>
      <w:r>
        <w:rPr>
          <w:sz w:val="22"/>
          <w:szCs w:val="22"/>
        </w:rPr>
        <w:t xml:space="preserve">Pesca artesanal al amanecer con pescadores locales</w:t>
      </w:r>
    </w:p>
    <w:p>
      <w:pPr>
        <w:pStyle w:val="ListParagraph"/>
        <w:numPr>
          <w:ilvl w:val="0"/>
          <w:numId w:val="2"/>
        </w:numPr>
        <w:spacing w:after="60" w:before="60"/>
      </w:pPr>
      <w:r>
        <w:rPr>
          <w:sz w:val="22"/>
          <w:szCs w:val="22"/>
        </w:rPr>
        <w:t xml:space="preserve">Camping y fogatas en playa privada</w:t>
      </w:r>
    </w:p>
    <w:p>
      <w:pPr>
        <w:pStyle w:val="ListParagraph"/>
        <w:numPr>
          <w:ilvl w:val="0"/>
          <w:numId w:val="2"/>
        </w:numPr>
        <w:spacing w:after="60" w:before="60"/>
      </w:pPr>
      <w:r>
        <w:rPr>
          <w:sz w:val="22"/>
          <w:szCs w:val="22"/>
        </w:rPr>
        <w:t xml:space="preserve">Sesiones fotográficas profesionales y creación de contenido</w:t>
      </w:r>
    </w:p>
    <w:p>
      <w:pPr>
        <w:spacing w:before="200"/>
      </w:pPr>
    </w:p>
    <w:p>
      <w:pPr>
        <w:pStyle w:val="Heading2"/>
        <w:spacing w:after="150" w:before="300"/>
      </w:pPr>
      <w:r>
        <w:rPr>
          <w:b/>
          <w:bCs/>
          <w:color w:val="00A389"/>
          <w:sz w:val="26"/>
          <w:szCs w:val="26"/>
        </w:rPr>
        <w:t xml:space="preserve">4.3 Paquete All-Inclusive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Precio base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$1,200 por persona / semana</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Alojamiento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Contenedor de lujo con terraza privada y vista al mar</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Alimentación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comidas diarias con gastronomía local</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Actividades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Deportes acuáticos incluidos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Logística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Traslado aeropuerto ↔ complejo incluido</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Cobertura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Seguro de viaje básico incluido</w:t>
            </w:r>
          </w:p>
        </w:tc>
      </w:tr>
    </w:tbl>
    <w:p>
      <w:r>
        <w:br w:type="page"/>
      </w:r>
    </w:p>
    <w:p>
      <w:pPr>
        <w:pStyle w:val="Heading1"/>
        <w:spacing w:after="200" w:before="400"/>
      </w:pPr>
      <w:r>
        <w:rPr>
          <w:b/>
          <w:bCs/>
          <w:color w:val="0A1628"/>
          <w:sz w:val="32"/>
          <w:szCs w:val="32"/>
        </w:rPr>
        <w:t xml:space="preserve">5. MODELO FINANCIERO</w:t>
      </w:r>
    </w:p>
    <w:p>
      <w:pPr>
        <w:pBdr>
          <w:bottom w:val="single" w:color="00C9A7" w:sz="4" w:space="1"/>
        </w:pBdr>
        <w:spacing w:after="200" w:before="200"/>
      </w:pPr>
    </w:p>
    <w:p>
      <w:pPr>
        <w:pStyle w:val="Heading2"/>
        <w:spacing w:after="150" w:before="300"/>
      </w:pPr>
      <w:r>
        <w:rPr>
          <w:b/>
          <w:bCs/>
          <w:color w:val="00A389"/>
          <w:sz w:val="26"/>
          <w:szCs w:val="26"/>
        </w:rPr>
        <w:t xml:space="preserve">5.1 Supuestos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Contenedores de alojamiento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 unidades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Capacidad por contenedor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 personas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Precio por contenedor/semana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$2,400</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Temporada alta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 meses al año</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Tasa de ocupación proyectada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 (conservador)</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Inversión inicial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$115,000 (punto medio)</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Gastos operativos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 de los ingresos (estándar industria)</w:t>
            </w:r>
          </w:p>
        </w:tc>
      </w:tr>
    </w:tbl>
    <w:p>
      <w:pPr>
        <w:spacing w:before="200"/>
      </w:pPr>
    </w:p>
    <w:p>
      <w:pPr>
        <w:pStyle w:val="Heading2"/>
        <w:spacing w:after="150" w:before="300"/>
      </w:pPr>
      <w:r>
        <w:rPr>
          <w:b/>
          <w:bCs/>
          <w:color w:val="00A389"/>
          <w:sz w:val="26"/>
          <w:szCs w:val="26"/>
        </w:rPr>
        <w:t xml:space="preserve">5.2 Proyección de Ingresos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Ingresos brutos anuales (60% ocupación)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$449,280</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Gastos operativos anuales (45%)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$202,176</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EBITDA anual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$247,104</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Margen EBITDA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55%</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RevPAR (ingresos/contenedor/noche)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$205</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ADR comparativo Caribe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$437 (CBA compite favorablemente)</w:t>
            </w:r>
          </w:p>
        </w:tc>
      </w:tr>
    </w:tbl>
    <w:p>
      <w:pPr>
        <w:spacing w:before="200"/>
      </w:pPr>
    </w:p>
    <w:p>
      <w:pPr>
        <w:pStyle w:val="Heading2"/>
        <w:spacing w:after="150" w:before="300"/>
      </w:pPr>
      <w:r>
        <w:rPr>
          <w:b/>
          <w:bCs/>
          <w:color w:val="00A389"/>
          <w:sz w:val="26"/>
          <w:szCs w:val="26"/>
        </w:rPr>
        <w:t xml:space="preserve">5.3 Métricas de Retorno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IRR (Tasa Interna de Retorno)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38%</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NPV a 5 años (descuento 12%)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$771,450</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Payback period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 meses post punto de equilibrio</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ROI año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115% sobre inversión inicial</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Punto de equilibrio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 de ocupación</w:t>
            </w:r>
          </w:p>
        </w:tc>
      </w:tr>
    </w:tbl>
    <w:p>
      <w:r>
        <w:br w:type="page"/>
      </w:r>
    </w:p>
    <w:p>
      <w:pPr>
        <w:pStyle w:val="Heading1"/>
        <w:spacing w:after="200" w:before="400"/>
      </w:pPr>
      <w:r>
        <w:rPr>
          <w:b/>
          <w:bCs/>
          <w:color w:val="0A1628"/>
          <w:sz w:val="32"/>
          <w:szCs w:val="32"/>
        </w:rPr>
        <w:t xml:space="preserve">6. ESTRATEGIA ESG — SOSTENIBILIDAD E IMPACTO</w:t>
      </w:r>
    </w:p>
    <w:p>
      <w:pPr>
        <w:pBdr>
          <w:bottom w:val="single" w:color="00C9A7" w:sz="4" w:space="1"/>
        </w:pBdr>
        <w:spacing w:after="200" w:before="200"/>
      </w:pPr>
    </w:p>
    <w:p>
      <w:pPr>
        <w:spacing w:after="100" w:before="100"/>
        <w:jc w:val="both"/>
      </w:pPr>
      <w:r>
        <w:rPr>
          <w:sz w:val="22"/>
          <w:szCs w:val="22"/>
        </w:rPr>
        <w:t xml:space="preserve">CBA integra los criterios ESG (Environmental, Social, Governance) como eje central de su modelo de negocio, alineándose con los estándares requeridos por fondos de inversión institucionales como BlackRock, que desde 2020 prioriza inversiones con criterios ESG sólidos.</w:t>
      </w:r>
    </w:p>
    <w:p>
      <w:pPr>
        <w:spacing w:before="200"/>
      </w:pPr>
    </w:p>
    <w:p>
      <w:pPr>
        <w:pStyle w:val="Heading2"/>
        <w:spacing w:after="150" w:before="300"/>
      </w:pPr>
      <w:r>
        <w:rPr>
          <w:b/>
          <w:bCs/>
          <w:color w:val="00A389"/>
          <w:sz w:val="26"/>
          <w:szCs w:val="26"/>
        </w:rPr>
        <w:t xml:space="preserve">6.1 Ambiental (E)</w:t>
      </w:r>
    </w:p>
    <w:p>
      <w:pPr>
        <w:pStyle w:val="ListParagraph"/>
        <w:numPr>
          <w:ilvl w:val="0"/>
          <w:numId w:val="2"/>
        </w:numPr>
        <w:spacing w:after="60" w:before="60"/>
      </w:pPr>
      <w:r>
        <w:rPr>
          <w:sz w:val="22"/>
          <w:szCs w:val="22"/>
        </w:rPr>
        <w:t xml:space="preserve">Uso de contenedores reciclados: reducción del 60% en huella de carbono vs construcción tradicional</w:t>
      </w:r>
    </w:p>
    <w:p>
      <w:pPr>
        <w:pStyle w:val="ListParagraph"/>
        <w:numPr>
          <w:ilvl w:val="0"/>
          <w:numId w:val="2"/>
        </w:numPr>
        <w:spacing w:after="60" w:before="60"/>
      </w:pPr>
      <w:r>
        <w:rPr>
          <w:sz w:val="22"/>
          <w:szCs w:val="22"/>
        </w:rPr>
        <w:t xml:space="preserve">Potencial implementación de paneles solares en techos de contenedores</w:t>
      </w:r>
    </w:p>
    <w:p>
      <w:pPr>
        <w:pStyle w:val="ListParagraph"/>
        <w:numPr>
          <w:ilvl w:val="0"/>
          <w:numId w:val="2"/>
        </w:numPr>
        <w:spacing w:after="60" w:before="60"/>
      </w:pPr>
      <w:r>
        <w:rPr>
          <w:sz w:val="22"/>
          <w:szCs w:val="22"/>
        </w:rPr>
        <w:t xml:space="preserve">Ubicación costera sin deforestación — aprovechamiento de terreno existente</w:t>
      </w:r>
    </w:p>
    <w:p>
      <w:pPr>
        <w:pStyle w:val="ListParagraph"/>
        <w:numPr>
          <w:ilvl w:val="0"/>
          <w:numId w:val="2"/>
        </w:numPr>
        <w:spacing w:after="60" w:before="60"/>
      </w:pPr>
      <w:r>
        <w:rPr>
          <w:sz w:val="22"/>
          <w:szCs w:val="22"/>
        </w:rPr>
        <w:t xml:space="preserve">Turismo de bajo impacto: grupos pequeños, máximo 12 huéspedes simultáneos</w:t>
      </w:r>
    </w:p>
    <w:p>
      <w:pPr>
        <w:spacing w:before="150"/>
      </w:pPr>
    </w:p>
    <w:p>
      <w:pPr>
        <w:pStyle w:val="Heading2"/>
        <w:spacing w:after="150" w:before="300"/>
      </w:pPr>
      <w:r>
        <w:rPr>
          <w:b/>
          <w:bCs/>
          <w:color w:val="00A389"/>
          <w:sz w:val="26"/>
          <w:szCs w:val="26"/>
        </w:rPr>
        <w:t xml:space="preserve">6.2 Social (S)</w:t>
      </w:r>
    </w:p>
    <w:p>
      <w:pPr>
        <w:pStyle w:val="ListParagraph"/>
        <w:numPr>
          <w:ilvl w:val="0"/>
          <w:numId w:val="2"/>
        </w:numPr>
        <w:spacing w:after="60" w:before="60"/>
      </w:pPr>
      <w:r>
        <w:rPr>
          <w:sz w:val="22"/>
          <w:szCs w:val="22"/>
        </w:rPr>
        <w:t xml:space="preserve">Generación de 12-15 empleos directos en comunidad de Morón</w:t>
      </w:r>
    </w:p>
    <w:p>
      <w:pPr>
        <w:pStyle w:val="ListParagraph"/>
        <w:numPr>
          <w:ilvl w:val="0"/>
          <w:numId w:val="2"/>
        </w:numPr>
        <w:spacing w:after="60" w:before="60"/>
      </w:pPr>
      <w:r>
        <w:rPr>
          <w:sz w:val="22"/>
          <w:szCs w:val="22"/>
        </w:rPr>
        <w:t xml:space="preserve">Integración de pescadores y artesanos locales como proveedores de experiencias</w:t>
      </w:r>
    </w:p>
    <w:p>
      <w:pPr>
        <w:pStyle w:val="ListParagraph"/>
        <w:numPr>
          <w:ilvl w:val="0"/>
          <w:numId w:val="2"/>
        </w:numPr>
        <w:spacing w:after="60" w:before="60"/>
      </w:pPr>
      <w:r>
        <w:rPr>
          <w:sz w:val="22"/>
          <w:szCs w:val="22"/>
        </w:rPr>
        <w:t xml:space="preserve">Preservación y difusión de cultura venezolana costera</w:t>
      </w:r>
    </w:p>
    <w:p>
      <w:pPr>
        <w:pStyle w:val="ListParagraph"/>
        <w:numPr>
          <w:ilvl w:val="0"/>
          <w:numId w:val="2"/>
        </w:numPr>
        <w:spacing w:after="60" w:before="60"/>
      </w:pPr>
      <w:r>
        <w:rPr>
          <w:sz w:val="22"/>
          <w:szCs w:val="22"/>
        </w:rPr>
        <w:t xml:space="preserve">Capacitación técnica de personal local en hospitalidad y guía turístico</w:t>
      </w:r>
    </w:p>
    <w:p>
      <w:pPr>
        <w:spacing w:before="150"/>
      </w:pPr>
    </w:p>
    <w:p>
      <w:pPr>
        <w:pStyle w:val="Heading2"/>
        <w:spacing w:after="150" w:before="300"/>
      </w:pPr>
      <w:r>
        <w:rPr>
          <w:b/>
          <w:bCs/>
          <w:color w:val="00A389"/>
          <w:sz w:val="26"/>
          <w:szCs w:val="26"/>
        </w:rPr>
        <w:t xml:space="preserve">6.3 Gobernanza (G)</w:t>
      </w:r>
    </w:p>
    <w:p>
      <w:pPr>
        <w:pStyle w:val="ListParagraph"/>
        <w:numPr>
          <w:ilvl w:val="0"/>
          <w:numId w:val="2"/>
        </w:numPr>
        <w:spacing w:after="60" w:before="60"/>
      </w:pPr>
      <w:r>
        <w:rPr>
          <w:sz w:val="22"/>
          <w:szCs w:val="22"/>
        </w:rPr>
        <w:t xml:space="preserve">Estructura societaria con 4 socios fundadores con roles definidos</w:t>
      </w:r>
    </w:p>
    <w:p>
      <w:pPr>
        <w:pStyle w:val="ListParagraph"/>
        <w:numPr>
          <w:ilvl w:val="0"/>
          <w:numId w:val="2"/>
        </w:numPr>
        <w:spacing w:after="60" w:before="60"/>
      </w:pPr>
      <w:r>
        <w:rPr>
          <w:sz w:val="22"/>
          <w:szCs w:val="22"/>
        </w:rPr>
        <w:t xml:space="preserve">Transparencia financiera con reportes trimestrales a inversionistas</w:t>
      </w:r>
    </w:p>
    <w:p>
      <w:pPr>
        <w:pStyle w:val="ListParagraph"/>
        <w:numPr>
          <w:ilvl w:val="0"/>
          <w:numId w:val="2"/>
        </w:numPr>
        <w:spacing w:after="60" w:before="60"/>
      </w:pPr>
      <w:r>
        <w:rPr>
          <w:sz w:val="22"/>
          <w:szCs w:val="22"/>
        </w:rPr>
        <w:t xml:space="preserve">Modelo de inversión estructurado con retorno proyectado documentado</w:t>
      </w:r>
    </w:p>
    <w:p>
      <w:pPr>
        <w:pStyle w:val="ListParagraph"/>
        <w:numPr>
          <w:ilvl w:val="0"/>
          <w:numId w:val="2"/>
        </w:numPr>
        <w:spacing w:after="60" w:before="60"/>
      </w:pPr>
      <w:r>
        <w:rPr>
          <w:sz w:val="22"/>
          <w:szCs w:val="22"/>
        </w:rPr>
        <w:t xml:space="preserve">Cumplimiento de normativas venezolanas de turismo y empresas mixtas</w:t>
      </w:r>
    </w:p>
    <w:p>
      <w:r>
        <w:br w:type="page"/>
      </w:r>
    </w:p>
    <w:p>
      <w:pPr>
        <w:pStyle w:val="Heading1"/>
        <w:spacing w:after="200" w:before="400"/>
      </w:pPr>
      <w:r>
        <w:rPr>
          <w:b/>
          <w:bCs/>
          <w:color w:val="0A1628"/>
          <w:sz w:val="32"/>
          <w:szCs w:val="32"/>
        </w:rPr>
        <w:t xml:space="preserve">7. PLATAFORMA DE DESTINOS</w:t>
      </w:r>
    </w:p>
    <w:p>
      <w:pPr>
        <w:pBdr>
          <w:bottom w:val="single" w:color="00C9A7" w:sz="4" w:space="1"/>
        </w:pBdr>
        <w:spacing w:after="200" w:before="200"/>
      </w:pPr>
    </w:p>
    <w:p>
      <w:pPr>
        <w:spacing w:after="100" w:before="100"/>
        <w:jc w:val="both"/>
      </w:pPr>
      <w:r>
        <w:rPr>
          <w:sz w:val="22"/>
          <w:szCs w:val="22"/>
        </w:rPr>
        <w:t xml:space="preserve">CBA no es solo un complejo — es una plataforma de turismo receptivo que conecta a los visitantes con los destinos más impresionantes de Venezuela. Cada paquete incluye excursiones opcionales a:</w:t>
      </w:r>
    </w:p>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Morón, Carabobo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Base principal — costa caribeña con acceso directo al mar</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Morrocoy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Parque nacional — cayos de arena blanca y aguas turquesa</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Henri Pittier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Selva nublada, aves exóticas y playas vírgenes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Los Roques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Archipiélago coralino — aguas más cristalinas del Caribe</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Canaima &amp; Salto Ángel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 caída de agua más alta del mundo</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Coro &amp; Médanos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Ciudad colonial UNESCO con dunas desérticas únicas</w:t>
            </w:r>
          </w:p>
        </w:tc>
      </w:tr>
    </w:tbl>
    <w:p>
      <w:r>
        <w:br w:type="page"/>
      </w:r>
    </w:p>
    <w:p>
      <w:pPr>
        <w:pStyle w:val="Heading1"/>
        <w:spacing w:after="200" w:before="400"/>
      </w:pPr>
      <w:r>
        <w:rPr>
          <w:b/>
          <w:bCs/>
          <w:color w:val="0A1628"/>
          <w:sz w:val="32"/>
          <w:szCs w:val="32"/>
        </w:rPr>
        <w:t xml:space="preserve">8. REQUERIMIENTOS DE INVERSIÓN</w:t>
      </w:r>
    </w:p>
    <w:p>
      <w:pPr>
        <w:pBdr>
          <w:bottom w:val="single" w:color="00C9A7" w:sz="4" w:space="1"/>
        </w:pBdr>
        <w:spacing w:after="200" w:before="200"/>
      </w:pPr>
    </w:p>
    <w:p>
      <w:pPr>
        <w:pStyle w:val="Heading2"/>
        <w:spacing w:after="150" w:before="300"/>
      </w:pPr>
      <w:r>
        <w:rPr>
          <w:b/>
          <w:bCs/>
          <w:color w:val="00A389"/>
          <w:sz w:val="26"/>
          <w:szCs w:val="26"/>
        </w:rPr>
        <w:t xml:space="preserve">8.1 Estructura de la Inversión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Inversión mínima (Fase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$100,000</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Inversión óptima (Completo)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$130,000</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Punto de inversión recomendado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$115,000</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Modelo de retorno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Participación en utilidades netas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Proyección retorno año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USD $130,000+ (115% ROI)</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Horizonte de inversión sugerido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 años</w:t>
            </w:r>
          </w:p>
        </w:tc>
      </w:tr>
    </w:tbl>
    <w:p>
      <w:pPr>
        <w:spacing w:before="200"/>
      </w:pPr>
    </w:p>
    <w:p>
      <w:pPr>
        <w:pStyle w:val="Heading2"/>
        <w:spacing w:after="150" w:before="300"/>
      </w:pPr>
      <w:r>
        <w:rPr>
          <w:b/>
          <w:bCs/>
          <w:color w:val="00A389"/>
          <w:sz w:val="26"/>
          <w:szCs w:val="26"/>
        </w:rPr>
        <w:t xml:space="preserve">8.2 Uso de Fondos</w:t>
      </w:r>
    </w:p>
    <w:p>
      <w:pPr>
        <w:pStyle w:val="ListParagraph"/>
        <w:numPr>
          <w:ilvl w:val="0"/>
          <w:numId w:val="2"/>
        </w:numPr>
        <w:spacing w:after="60" w:before="60"/>
      </w:pPr>
      <w:r>
        <w:rPr>
          <w:sz w:val="22"/>
          <w:szCs w:val="22"/>
        </w:rPr>
        <w:t xml:space="preserve">Adquisición y acondicionamiento de contenedores: 40%</w:t>
      </w:r>
    </w:p>
    <w:p>
      <w:pPr>
        <w:pStyle w:val="ListParagraph"/>
        <w:numPr>
          <w:ilvl w:val="0"/>
          <w:numId w:val="2"/>
        </w:numPr>
        <w:spacing w:after="60" w:before="60"/>
      </w:pPr>
      <w:r>
        <w:rPr>
          <w:sz w:val="22"/>
          <w:szCs w:val="22"/>
        </w:rPr>
        <w:t xml:space="preserve">Equipamiento taller metalúrgico: 25%</w:t>
      </w:r>
    </w:p>
    <w:p>
      <w:pPr>
        <w:pStyle w:val="ListParagraph"/>
        <w:numPr>
          <w:ilvl w:val="0"/>
          <w:numId w:val="2"/>
        </w:numPr>
        <w:spacing w:after="60" w:before="60"/>
      </w:pPr>
      <w:r>
        <w:rPr>
          <w:sz w:val="22"/>
          <w:szCs w:val="22"/>
        </w:rPr>
        <w:t xml:space="preserve">Infraestructura costera y acceso al mar: 15%</w:t>
      </w:r>
    </w:p>
    <w:p>
      <w:pPr>
        <w:pStyle w:val="ListParagraph"/>
        <w:numPr>
          <w:ilvl w:val="0"/>
          <w:numId w:val="2"/>
        </w:numPr>
        <w:spacing w:after="60" w:before="60"/>
      </w:pPr>
      <w:r>
        <w:rPr>
          <w:sz w:val="22"/>
          <w:szCs w:val="22"/>
        </w:rPr>
        <w:t xml:space="preserve">Capital de trabajo inicial (6 meses): 12%</w:t>
      </w:r>
    </w:p>
    <w:p>
      <w:pPr>
        <w:pStyle w:val="ListParagraph"/>
        <w:numPr>
          <w:ilvl w:val="0"/>
          <w:numId w:val="2"/>
        </w:numPr>
        <w:spacing w:after="60" w:before="60"/>
      </w:pPr>
      <w:r>
        <w:rPr>
          <w:sz w:val="22"/>
          <w:szCs w:val="22"/>
        </w:rPr>
        <w:t xml:space="preserve">Marketing y lanzamiento internacional: 8%</w:t>
      </w:r>
    </w:p>
    <w:p>
      <w:r>
        <w:br w:type="page"/>
      </w:r>
    </w:p>
    <w:p>
      <w:pPr>
        <w:pStyle w:val="Heading1"/>
        <w:spacing w:after="200" w:before="400"/>
      </w:pPr>
      <w:r>
        <w:rPr>
          <w:b/>
          <w:bCs/>
          <w:color w:val="0A1628"/>
          <w:sz w:val="32"/>
          <w:szCs w:val="32"/>
        </w:rPr>
        <w:t xml:space="preserve">9. ECOSISTEMA DIGITAL — RENACE</w:t>
      </w:r>
    </w:p>
    <w:p>
      <w:pPr>
        <w:pBdr>
          <w:bottom w:val="single" w:color="00C9A7" w:sz="4" w:space="1"/>
        </w:pBdr>
        <w:spacing w:after="200" w:before="200"/>
      </w:pPr>
    </w:p>
    <w:p>
      <w:pPr>
        <w:spacing w:after="100" w:before="100"/>
        <w:jc w:val="both"/>
      </w:pPr>
      <w:r>
        <w:rPr>
          <w:sz w:val="22"/>
          <w:szCs w:val="22"/>
        </w:rPr>
        <w:t xml:space="preserve">CBA integra Renace, una plataforma digital de crecimiento personal gamificado que amplía el modelo de negocio más allá del turismo físico, creando una comunidad digital de usuarios que generan ingresos recurrentes independientemente de la ocupación del complejo.</w:t>
      </w:r>
    </w:p>
    <w:p>
      <w:pPr>
        <w:spacing w:before="1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Misiones diarias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Desafíos personalizados con recompensas reales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Sistema XP &amp; LUX</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Moneda dual de progreso y valor económico</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Leaderboard global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Competencia y colaboración entre usuarios</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Arquetipos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Perfiles únicos de desarrollo personal</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Integración CBA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Recompensas canjeables en experiencias del complejo</w:t>
            </w:r>
          </w:p>
        </w:tc>
      </w:tr>
    </w:tbl>
    <w:p>
      <w:r>
        <w:br w:type="page"/>
      </w:r>
    </w:p>
    <w:p>
      <w:pPr>
        <w:pStyle w:val="Heading1"/>
        <w:spacing w:after="200" w:before="400"/>
      </w:pPr>
      <w:r>
        <w:rPr>
          <w:b/>
          <w:bCs/>
          <w:color w:val="0A1628"/>
          <w:sz w:val="32"/>
          <w:szCs w:val="32"/>
        </w:rPr>
        <w:t xml:space="preserve">10. EQUIPO FUNDADOR</w:t>
      </w:r>
    </w:p>
    <w:p>
      <w:pPr>
        <w:pBdr>
          <w:bottom w:val="single" w:color="00C9A7" w:sz="4" w:space="1"/>
        </w:pBdr>
        <w:spacing w:after="200" w:before="200"/>
      </w:pPr>
    </w:p>
    <w:p>
      <w:pPr>
        <w:spacing w:after="100" w:before="100"/>
        <w:jc w:val="both"/>
      </w:pPr>
      <w:r>
        <w:rPr>
          <w:sz w:val="22"/>
          <w:szCs w:val="22"/>
        </w:rPr>
        <w:t xml:space="preserve">CBA cuenta con un equipo fundador de 4 socios con experiencia complementaria en industria, turismo y tecnología, basados en Venezuela y con red de contactos internacionales.</w:t>
      </w:r>
    </w:p>
    <w:p>
      <w:pPr>
        <w:spacing w:before="200"/>
      </w:pPr>
    </w:p>
    <w:p>
      <w:pPr>
        <w:pStyle w:val="Heading2"/>
        <w:spacing w:after="150" w:before="300"/>
      </w:pPr>
      <w:r>
        <w:rPr>
          <w:b/>
          <w:bCs/>
          <w:color w:val="00A389"/>
          <w:sz w:val="26"/>
          <w:szCs w:val="26"/>
        </w:rPr>
        <w:t xml:space="preserve">Alfonso E. Grammatica Rivero — Co-fundador &amp; Director de Estrategia</w:t>
      </w:r>
    </w:p>
    <w:p>
      <w:pPr>
        <w:pStyle w:val="ListParagraph"/>
        <w:numPr>
          <w:ilvl w:val="0"/>
          <w:numId w:val="2"/>
        </w:numPr>
        <w:spacing w:after="60" w:before="60"/>
      </w:pPr>
      <w:r>
        <w:rPr>
          <w:sz w:val="22"/>
          <w:szCs w:val="22"/>
        </w:rPr>
        <w:t xml:space="preserve">TSU en Tecnología Petrolera — industria O&amp;G</w:t>
      </w:r>
    </w:p>
    <w:p>
      <w:pPr>
        <w:pStyle w:val="ListParagraph"/>
        <w:numPr>
          <w:ilvl w:val="0"/>
          <w:numId w:val="2"/>
        </w:numPr>
        <w:spacing w:after="60" w:before="60"/>
      </w:pPr>
      <w:r>
        <w:rPr>
          <w:sz w:val="22"/>
          <w:szCs w:val="22"/>
        </w:rPr>
        <w:t xml:space="preserve">Inspector QA/QC Nivel 1 — experiencia PDVSA, Pequiven</w:t>
      </w:r>
    </w:p>
    <w:p>
      <w:pPr>
        <w:pStyle w:val="ListParagraph"/>
        <w:numPr>
          <w:ilvl w:val="0"/>
          <w:numId w:val="2"/>
        </w:numPr>
        <w:spacing w:after="60" w:before="60"/>
      </w:pPr>
      <w:r>
        <w:rPr>
          <w:sz w:val="22"/>
          <w:szCs w:val="22"/>
        </w:rPr>
        <w:t xml:space="preserve">Certificado Google Data Analytics (en curso 2026)</w:t>
      </w:r>
    </w:p>
    <w:p>
      <w:pPr>
        <w:pStyle w:val="ListParagraph"/>
        <w:numPr>
          <w:ilvl w:val="0"/>
          <w:numId w:val="2"/>
        </w:numPr>
        <w:spacing w:after="60" w:before="60"/>
      </w:pPr>
      <w:r>
        <w:rPr>
          <w:sz w:val="22"/>
          <w:szCs w:val="22"/>
        </w:rPr>
        <w:t xml:space="preserve">Certificaciones IA: SENAI Brasil (2026)</w:t>
      </w:r>
    </w:p>
    <w:p>
      <w:pPr>
        <w:pStyle w:val="ListParagraph"/>
        <w:numPr>
          <w:ilvl w:val="0"/>
          <w:numId w:val="2"/>
        </w:numPr>
        <w:spacing w:after="60" w:before="60"/>
      </w:pPr>
      <w:r>
        <w:rPr>
          <w:sz w:val="22"/>
          <w:szCs w:val="22"/>
        </w:rPr>
        <w:t xml:space="preserve">Trilingüe: Español, Portugués, Inglés</w:t>
      </w:r>
    </w:p>
    <w:p>
      <w:pPr>
        <w:pStyle w:val="ListParagraph"/>
        <w:numPr>
          <w:ilvl w:val="0"/>
          <w:numId w:val="2"/>
        </w:numPr>
        <w:spacing w:after="60" w:before="60"/>
      </w:pPr>
      <w:r>
        <w:rPr>
          <w:sz w:val="22"/>
          <w:szCs w:val="22"/>
        </w:rPr>
        <w:t xml:space="preserve">Basado en Brasil — conexión mercados latinoamericanos y europeos</w:t>
      </w:r>
    </w:p>
    <w:p>
      <w:pPr>
        <w:spacing w:before="200"/>
      </w:pPr>
    </w:p>
    <w:p>
      <w:pPr>
        <w:pStyle w:val="Heading1"/>
        <w:spacing w:after="200" w:before="400"/>
      </w:pPr>
      <w:r>
        <w:rPr>
          <w:b/>
          <w:bCs/>
          <w:color w:val="0A1628"/>
          <w:sz w:val="32"/>
          <w:szCs w:val="32"/>
        </w:rPr>
        <w:t xml:space="preserve">11. CONTACTO</w:t>
      </w:r>
    </w:p>
    <w:p>
      <w:pPr>
        <w:pBdr>
          <w:bottom w:val="single" w:color="00C9A7" w:sz="4"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Email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venbraproyeccion@gmail.com</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Ubicación del proyecto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Morón, Carabobo, Venezuela</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Portafolio digital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https://github.com/venbraproyeccion-code1/cba-website</w:t>
            </w:r>
          </w:p>
        </w:tc>
      </w:tr>
      <w:tr>
        <w:tc>
          <w:tcPr>
            <w:tcW w:type="dxa" w:w="4680"/>
            <w:tcBorders>
              <w:top w:val="single" w:color="CCCCCC" w:sz="1"/>
              <w:left w:val="single" w:color="CCCCCC" w:sz="1"/>
              <w:bottom w:val="single" w:color="CCCCCC" w:sz="1"/>
              <w:right w:val="single" w:color="CCCCCC" w:sz="1"/>
            </w:tcBorders>
            <w:shd w:fill="F0FAF8" w:val="clear"/>
            <w:tcMar>
              <w:top w:type="dxa" w:w="80"/>
              <w:left w:type="dxa" w:w="120"/>
              <w:bottom w:type="dxa" w:w="80"/>
              <w:right w:type="dxa" w:w="120"/>
            </w:tcMar>
          </w:tcPr>
          <w:p>
            <w:r>
              <w:rPr>
                <w:b/>
                <w:bCs/>
                <w:sz w:val="20"/>
                <w:szCs w:val="20"/>
              </w:rPr>
              <w:t xml:space="preserve">Versión del documento</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Business Plan v1.0 — Abril 2026</w:t>
            </w:r>
          </w:p>
        </w:tc>
      </w:tr>
    </w:tbl>
    <w:p>
      <w:pPr>
        <w:spacing w:before="300"/>
      </w:pPr>
    </w:p>
    <w:p>
      <w:pPr>
        <w:jc w:val="center"/>
      </w:pPr>
      <w:r>
        <w:rPr>
          <w:color w:val="00A389"/>
          <w:sz w:val="20"/>
          <w:szCs w:val="20"/>
        </w:rPr>
        <w:t xml:space="preserve">Container Beach Adventures — Donde la aventura se construye con acero y mar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00A38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2026-04-10T18:26:59.072Z</dcterms:created>
  <dcterms:modified xsi:type="dcterms:W3CDTF">2026-04-10T18:26:59.073Z</dcterms:modified>
</cp:coreProperties>
</file>

<file path=docProps/custom.xml><?xml version="1.0" encoding="utf-8"?>
<Properties xmlns="http://schemas.openxmlformats.org/officeDocument/2006/custom-properties" xmlns:vt="http://schemas.openxmlformats.org/officeDocument/2006/docPropsVTypes"/>
</file>