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860CA" w14:textId="77777777" w:rsidR="003640C6" w:rsidRPr="00593E09" w:rsidRDefault="003640C6" w:rsidP="003640C6">
      <w:pPr>
        <w:jc w:val="center"/>
        <w:rPr>
          <w:rFonts w:cstheme="minorHAnsi"/>
          <w:color w:val="000000" w:themeColor="text1"/>
        </w:rPr>
      </w:pPr>
      <w:r w:rsidRPr="00593E09">
        <w:rPr>
          <w:rFonts w:cstheme="minorHAnsi"/>
          <w:noProof/>
          <w:color w:val="000000" w:themeColor="text1"/>
        </w:rPr>
        <w:drawing>
          <wp:inline distT="0" distB="0" distL="0" distR="0" wp14:anchorId="299ECEFF" wp14:editId="0D3CEB78">
            <wp:extent cx="5392420" cy="849630"/>
            <wp:effectExtent l="0" t="0" r="0" b="762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5332B" w14:textId="62652E6E" w:rsidR="003640C6" w:rsidRPr="00593E09" w:rsidRDefault="003640C6">
      <w:pPr>
        <w:rPr>
          <w:rFonts w:cstheme="minorHAnsi"/>
          <w:color w:val="000000" w:themeColor="text1"/>
        </w:rPr>
      </w:pPr>
    </w:p>
    <w:p w14:paraId="5EB3243A" w14:textId="19819EFD" w:rsidR="00F40D0B" w:rsidRPr="00593E09" w:rsidRDefault="00F40D0B">
      <w:pPr>
        <w:rPr>
          <w:rFonts w:cstheme="minorHAnsi"/>
          <w:color w:val="000000" w:themeColor="text1"/>
        </w:rPr>
      </w:pPr>
    </w:p>
    <w:p w14:paraId="1CBD0231" w14:textId="1A09C0B5" w:rsidR="00F40D0B" w:rsidRPr="00593E09" w:rsidRDefault="00F40D0B">
      <w:pPr>
        <w:rPr>
          <w:rFonts w:cstheme="minorHAnsi"/>
          <w:color w:val="000000" w:themeColor="text1"/>
        </w:rPr>
      </w:pPr>
    </w:p>
    <w:p w14:paraId="0332AE5C" w14:textId="4A57A14A" w:rsidR="00F40D0B" w:rsidRPr="00593E09" w:rsidRDefault="00F40D0B">
      <w:pPr>
        <w:rPr>
          <w:rFonts w:cstheme="minorHAnsi"/>
          <w:color w:val="000000" w:themeColor="text1"/>
        </w:rPr>
      </w:pPr>
    </w:p>
    <w:p w14:paraId="1ED3719F" w14:textId="77777777" w:rsidR="00F40D0B" w:rsidRPr="00593E09" w:rsidRDefault="00F40D0B">
      <w:pPr>
        <w:rPr>
          <w:rFonts w:cstheme="minorHAnsi"/>
          <w:color w:val="000000" w:themeColor="text1"/>
        </w:rPr>
      </w:pPr>
    </w:p>
    <w:p w14:paraId="76617A57" w14:textId="149F4DE0" w:rsidR="003640C6" w:rsidRPr="00593E09" w:rsidRDefault="003640C6">
      <w:pPr>
        <w:rPr>
          <w:rFonts w:cstheme="minorHAnsi"/>
          <w:color w:val="000000" w:themeColor="text1"/>
        </w:rPr>
      </w:pPr>
    </w:p>
    <w:p w14:paraId="3E7B3E00" w14:textId="091D07BE" w:rsidR="003640C6" w:rsidRPr="00593E09" w:rsidRDefault="003640C6" w:rsidP="003640C6">
      <w:pPr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593E09">
        <w:rPr>
          <w:rFonts w:cstheme="minorHAnsi"/>
          <w:b/>
          <w:bCs/>
          <w:color w:val="000000" w:themeColor="text1"/>
          <w:sz w:val="32"/>
          <w:szCs w:val="32"/>
        </w:rPr>
        <w:t>Čtvrtá laboratorní úloha z DE2</w:t>
      </w:r>
    </w:p>
    <w:p w14:paraId="16D9ECA8" w14:textId="77777777" w:rsidR="003640C6" w:rsidRPr="00593E09" w:rsidRDefault="003640C6" w:rsidP="003640C6">
      <w:pPr>
        <w:jc w:val="center"/>
        <w:rPr>
          <w:rFonts w:cstheme="minorHAnsi"/>
          <w:color w:val="000000" w:themeColor="text1"/>
        </w:rPr>
      </w:pPr>
    </w:p>
    <w:p w14:paraId="39BEB028" w14:textId="64010998" w:rsidR="003640C6" w:rsidRPr="00593E09" w:rsidRDefault="003640C6" w:rsidP="003640C6">
      <w:pPr>
        <w:jc w:val="center"/>
        <w:rPr>
          <w:rFonts w:cstheme="minorHAnsi"/>
          <w:color w:val="000000" w:themeColor="text1"/>
        </w:rPr>
      </w:pPr>
      <w:r w:rsidRPr="00593E09">
        <w:rPr>
          <w:rFonts w:cstheme="minorHAnsi"/>
          <w:color w:val="000000" w:themeColor="text1"/>
        </w:rPr>
        <w:t>xpastu02</w:t>
      </w:r>
    </w:p>
    <w:p w14:paraId="1D167137" w14:textId="010214A4" w:rsidR="003640C6" w:rsidRPr="00593E09" w:rsidRDefault="003640C6" w:rsidP="003640C6">
      <w:pPr>
        <w:jc w:val="center"/>
        <w:rPr>
          <w:rFonts w:cstheme="minorHAnsi"/>
          <w:color w:val="000000" w:themeColor="text1"/>
        </w:rPr>
      </w:pPr>
    </w:p>
    <w:p w14:paraId="47DE79E5" w14:textId="0DD0B24A" w:rsidR="003640C6" w:rsidRPr="00593E09" w:rsidRDefault="003640C6" w:rsidP="003640C6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593E09">
        <w:rPr>
          <w:rFonts w:cstheme="minorHAnsi"/>
          <w:color w:val="000000" w:themeColor="text1"/>
          <w:sz w:val="24"/>
          <w:szCs w:val="24"/>
        </w:rPr>
        <w:t>Vysoké učení technické v Brně</w:t>
      </w:r>
    </w:p>
    <w:p w14:paraId="0CBC0A4D" w14:textId="6C73326A" w:rsidR="003640C6" w:rsidRPr="00593E09" w:rsidRDefault="003640C6" w:rsidP="003640C6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593E09">
        <w:rPr>
          <w:rFonts w:cstheme="minorHAnsi"/>
          <w:color w:val="000000" w:themeColor="text1"/>
          <w:sz w:val="24"/>
          <w:szCs w:val="24"/>
        </w:rPr>
        <w:t>Fakulta elektroniky</w:t>
      </w:r>
      <w:r w:rsidRPr="00593E09">
        <w:rPr>
          <w:rFonts w:cstheme="minorHAnsi"/>
          <w:color w:val="000000" w:themeColor="text1"/>
          <w:sz w:val="24"/>
          <w:szCs w:val="24"/>
        </w:rPr>
        <w:br/>
        <w:t>a komunikačních technologií</w:t>
      </w:r>
    </w:p>
    <w:p w14:paraId="112E5347" w14:textId="597D0368" w:rsidR="003640C6" w:rsidRPr="00593E09" w:rsidRDefault="003640C6" w:rsidP="003640C6">
      <w:pPr>
        <w:jc w:val="center"/>
        <w:rPr>
          <w:rFonts w:cstheme="minorHAnsi"/>
          <w:color w:val="000000" w:themeColor="text1"/>
        </w:rPr>
      </w:pPr>
      <w:r w:rsidRPr="00593E09">
        <w:rPr>
          <w:rFonts w:cstheme="minorHAnsi"/>
          <w:color w:val="000000" w:themeColor="text1"/>
        </w:rPr>
        <w:t>14.</w:t>
      </w:r>
      <w:r w:rsidR="00FB44E9" w:rsidRPr="00593E09">
        <w:rPr>
          <w:rFonts w:cstheme="minorHAnsi"/>
          <w:color w:val="000000" w:themeColor="text1"/>
        </w:rPr>
        <w:t xml:space="preserve"> </w:t>
      </w:r>
      <w:r w:rsidRPr="00593E09">
        <w:rPr>
          <w:rFonts w:cstheme="minorHAnsi"/>
          <w:color w:val="000000" w:themeColor="text1"/>
        </w:rPr>
        <w:t>10. 2020</w:t>
      </w:r>
    </w:p>
    <w:p w14:paraId="691B82F3" w14:textId="5F7B9EA2" w:rsidR="003640C6" w:rsidRPr="00593E09" w:rsidRDefault="003640C6" w:rsidP="003640C6">
      <w:pPr>
        <w:jc w:val="center"/>
        <w:rPr>
          <w:rFonts w:cstheme="minorHAnsi"/>
          <w:color w:val="000000" w:themeColor="text1"/>
        </w:rPr>
      </w:pPr>
    </w:p>
    <w:p w14:paraId="24819E72" w14:textId="5E68BF46" w:rsidR="003640C6" w:rsidRPr="00593E09" w:rsidRDefault="003640C6" w:rsidP="003640C6">
      <w:pPr>
        <w:jc w:val="center"/>
        <w:rPr>
          <w:rFonts w:cstheme="minorHAnsi"/>
          <w:color w:val="000000" w:themeColor="text1"/>
        </w:rPr>
      </w:pPr>
      <w:r w:rsidRPr="00593E09">
        <w:rPr>
          <w:rFonts w:cstheme="minorHAnsi"/>
          <w:color w:val="000000" w:themeColor="text1"/>
        </w:rPr>
        <w:br w:type="page"/>
      </w:r>
    </w:p>
    <w:p w14:paraId="4900E0A0" w14:textId="07D4DF94" w:rsidR="00DA1053" w:rsidRPr="00593E09" w:rsidRDefault="005F0546">
      <w:pPr>
        <w:rPr>
          <w:rFonts w:cstheme="minorHAnsi"/>
          <w:color w:val="000000" w:themeColor="text1"/>
        </w:rPr>
      </w:pPr>
      <w:r w:rsidRPr="00593E09"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01887B42" wp14:editId="0A11C562">
            <wp:extent cx="6025242" cy="892629"/>
            <wp:effectExtent l="0" t="0" r="0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824" cy="90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05ECE" w14:textId="561C9B09" w:rsidR="008726F0" w:rsidRPr="00593E09" w:rsidRDefault="00CA2BA5" w:rsidP="008726F0">
      <w:pPr>
        <w:rPr>
          <w:rFonts w:cstheme="minorHAnsi"/>
          <w:color w:val="000000" w:themeColor="text1"/>
        </w:rPr>
      </w:pPr>
      <w:r w:rsidRPr="00593E09">
        <w:rPr>
          <w:rFonts w:cstheme="minorHAnsi"/>
          <w:noProof/>
          <w:color w:val="000000" w:themeColor="text1"/>
        </w:rPr>
        <w:drawing>
          <wp:inline distT="0" distB="0" distL="0" distR="0" wp14:anchorId="7AC2228C" wp14:editId="0399308E">
            <wp:extent cx="6511884" cy="1412631"/>
            <wp:effectExtent l="0" t="0" r="381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3616" cy="14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492BF" w14:textId="77777777" w:rsidR="00E11A08" w:rsidRPr="00593E09" w:rsidRDefault="00E11A08" w:rsidP="008726F0">
      <w:pPr>
        <w:rPr>
          <w:rFonts w:cstheme="minorHAnsi"/>
          <w:color w:val="000000" w:themeColor="text1"/>
        </w:rPr>
      </w:pPr>
    </w:p>
    <w:p w14:paraId="4515395D" w14:textId="6D2E6122" w:rsidR="007822D2" w:rsidRPr="00593E09" w:rsidRDefault="007822D2" w:rsidP="008726F0">
      <w:pPr>
        <w:rPr>
          <w:rFonts w:cstheme="minorHAnsi"/>
          <w:color w:val="000000" w:themeColor="text1"/>
        </w:rPr>
      </w:pPr>
      <w:r w:rsidRPr="00593E09">
        <w:rPr>
          <w:rFonts w:cstheme="minorHAnsi"/>
          <w:noProof/>
          <w:color w:val="000000" w:themeColor="text1"/>
        </w:rPr>
        <w:drawing>
          <wp:inline distT="0" distB="0" distL="0" distR="0" wp14:anchorId="1AD10F5A" wp14:editId="6C8810B3">
            <wp:extent cx="6645910" cy="2466340"/>
            <wp:effectExtent l="0" t="0" r="254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13496" w14:textId="77777777" w:rsidR="00E11A08" w:rsidRPr="00593E09" w:rsidRDefault="00E11A08" w:rsidP="008726F0">
      <w:pPr>
        <w:rPr>
          <w:rFonts w:cstheme="minorHAnsi"/>
          <w:color w:val="000000" w:themeColor="text1"/>
        </w:rPr>
      </w:pPr>
    </w:p>
    <w:p w14:paraId="4CAAF090" w14:textId="06A2159D" w:rsidR="00175499" w:rsidRPr="00593E09" w:rsidRDefault="00175499" w:rsidP="008726F0">
      <w:pPr>
        <w:rPr>
          <w:rFonts w:cstheme="minorHAnsi"/>
          <w:color w:val="000000" w:themeColor="text1"/>
        </w:rPr>
      </w:pPr>
      <w:r w:rsidRPr="00593E09">
        <w:rPr>
          <w:rFonts w:cstheme="minorHAnsi"/>
          <w:noProof/>
          <w:color w:val="000000" w:themeColor="text1"/>
        </w:rPr>
        <w:drawing>
          <wp:inline distT="0" distB="0" distL="0" distR="0" wp14:anchorId="58BA9B3D" wp14:editId="6724A10B">
            <wp:extent cx="4981095" cy="1412631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378" cy="141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CF73" w14:textId="5FDA3715" w:rsidR="00F40D0B" w:rsidRPr="00593E09" w:rsidRDefault="00F40D0B" w:rsidP="008726F0">
      <w:pPr>
        <w:rPr>
          <w:rFonts w:cstheme="minorHAnsi"/>
          <w:color w:val="000000" w:themeColor="text1"/>
        </w:rPr>
      </w:pPr>
    </w:p>
    <w:p w14:paraId="51800555" w14:textId="266B1DC9" w:rsidR="00F40D0B" w:rsidRPr="00593E09" w:rsidRDefault="00F40D0B" w:rsidP="008726F0">
      <w:pPr>
        <w:rPr>
          <w:rFonts w:cstheme="minorHAnsi"/>
          <w:color w:val="000000" w:themeColor="text1"/>
        </w:rPr>
      </w:pPr>
      <w:r w:rsidRPr="00593E09">
        <w:rPr>
          <w:rFonts w:cstheme="minorHAnsi"/>
          <w:noProof/>
          <w:color w:val="000000" w:themeColor="text1"/>
        </w:rPr>
        <w:lastRenderedPageBreak/>
        <w:drawing>
          <wp:inline distT="0" distB="0" distL="0" distR="0" wp14:anchorId="53A7E2E8" wp14:editId="168AB597">
            <wp:extent cx="6645910" cy="5222875"/>
            <wp:effectExtent l="0" t="0" r="254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6276" w14:textId="71608C14" w:rsidR="00C15AC6" w:rsidRPr="00593E09" w:rsidRDefault="00C15AC6" w:rsidP="008726F0">
      <w:pPr>
        <w:rPr>
          <w:rFonts w:cstheme="minorHAnsi"/>
          <w:color w:val="000000" w:themeColor="text1"/>
        </w:rPr>
      </w:pPr>
    </w:p>
    <w:p w14:paraId="19FD0DEE" w14:textId="5A7BD067" w:rsidR="005361FA" w:rsidRPr="00593E09" w:rsidRDefault="005361FA" w:rsidP="005361FA">
      <w:pPr>
        <w:pStyle w:val="Odstavecseseznamem"/>
        <w:numPr>
          <w:ilvl w:val="0"/>
          <w:numId w:val="2"/>
        </w:numPr>
        <w:rPr>
          <w:rFonts w:cstheme="minorHAnsi"/>
          <w:color w:val="000000" w:themeColor="text1"/>
          <w:sz w:val="20"/>
          <w:szCs w:val="20"/>
        </w:rPr>
      </w:pPr>
      <w:r w:rsidRPr="00593E09">
        <w:rPr>
          <w:rFonts w:cstheme="minorHAnsi"/>
          <w:color w:val="000000" w:themeColor="text1"/>
          <w:shd w:val="clear" w:color="auto" w:fill="FFFFFF"/>
        </w:rPr>
        <w:t>In your words, describe the difference between a common C function and interrupt service routine</w:t>
      </w:r>
    </w:p>
    <w:p w14:paraId="5AF6F43B" w14:textId="4F045C17" w:rsidR="005361FA" w:rsidRPr="00593E09" w:rsidRDefault="005361FA" w:rsidP="005361FA">
      <w:pPr>
        <w:pStyle w:val="Odstavecseseznamem"/>
        <w:ind w:left="1080"/>
        <w:rPr>
          <w:rFonts w:cstheme="minorHAnsi"/>
          <w:color w:val="000000" w:themeColor="text1"/>
          <w:shd w:val="clear" w:color="auto" w:fill="FFFFFF"/>
        </w:rPr>
      </w:pPr>
    </w:p>
    <w:p w14:paraId="0758A2BC" w14:textId="09C1FA3C" w:rsidR="00FE5068" w:rsidRPr="00593E09" w:rsidRDefault="005361FA" w:rsidP="00593E09">
      <w:pPr>
        <w:pStyle w:val="Odstavecseseznamem"/>
        <w:numPr>
          <w:ilvl w:val="0"/>
          <w:numId w:val="4"/>
        </w:num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593E09">
        <w:rPr>
          <w:rFonts w:cstheme="minorHAnsi"/>
          <w:color w:val="000000" w:themeColor="text1"/>
          <w:sz w:val="20"/>
          <w:szCs w:val="20"/>
          <w:shd w:val="clear" w:color="auto" w:fill="FFFFFF"/>
        </w:rPr>
        <w:t>Hlavní rozdíl je ve volání funkce a ISR, ISR narozdíl od funkce nemá návratový typ.</w:t>
      </w:r>
    </w:p>
    <w:p w14:paraId="1CBECD8F" w14:textId="71B2DA83" w:rsidR="00FE5068" w:rsidRPr="00593E09" w:rsidRDefault="005361FA" w:rsidP="00593E09">
      <w:pPr>
        <w:pStyle w:val="Odstavecseseznamem"/>
        <w:numPr>
          <w:ilvl w:val="0"/>
          <w:numId w:val="4"/>
        </w:numPr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  <w:r w:rsidRPr="00593E09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Funkce se většinou volá v hlavní funkci main, z jiné funkce nebo </w:t>
      </w:r>
      <w:r w:rsidR="00FE5068" w:rsidRPr="00593E09">
        <w:rPr>
          <w:rFonts w:cstheme="minorHAnsi"/>
          <w:color w:val="000000" w:themeColor="text1"/>
          <w:sz w:val="20"/>
          <w:szCs w:val="20"/>
          <w:shd w:val="clear" w:color="auto" w:fill="FFFFFF"/>
        </w:rPr>
        <w:t>stejné (rekurzivní) funkce.</w:t>
      </w:r>
    </w:p>
    <w:p w14:paraId="28A131C9" w14:textId="17C2D7CE" w:rsidR="00451D4E" w:rsidRDefault="00FE5068" w:rsidP="00451D4E">
      <w:pPr>
        <w:pStyle w:val="Odstavecseseznamem"/>
        <w:numPr>
          <w:ilvl w:val="0"/>
          <w:numId w:val="4"/>
        </w:numPr>
        <w:rPr>
          <w:rFonts w:cstheme="minorHAnsi"/>
          <w:color w:val="000000" w:themeColor="text1"/>
          <w:sz w:val="20"/>
          <w:szCs w:val="20"/>
        </w:rPr>
      </w:pPr>
      <w:r w:rsidRPr="00593E09">
        <w:rPr>
          <w:rFonts w:cstheme="minorHAnsi"/>
          <w:color w:val="000000" w:themeColor="text1"/>
          <w:sz w:val="20"/>
          <w:szCs w:val="20"/>
          <w:shd w:val="clear" w:color="auto" w:fill="FFFFFF"/>
        </w:rPr>
        <w:t>ISR je speciální procedura, která je v operačním systému vyvolána při obsluze přerušení a volá se mimo funkci main.</w:t>
      </w:r>
      <w:r w:rsidR="00593E09" w:rsidRPr="00593E09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6424E" w:rsidRPr="00593E09">
        <w:rPr>
          <w:rFonts w:cstheme="minorHAnsi"/>
          <w:color w:val="000000" w:themeColor="text1"/>
          <w:sz w:val="20"/>
          <w:szCs w:val="20"/>
        </w:rPr>
        <w:t>Přerušení je asynchronní událost, při jejímž příchodu je přerušena činnost procesoru, je vyvolána obsluha přerušení, a poté činnost procesoru pokračuje na místě, kde bylo přerušení vyvoláno.</w:t>
      </w:r>
    </w:p>
    <w:p w14:paraId="28DDB5B5" w14:textId="77777777" w:rsidR="00451D4E" w:rsidRPr="00451D4E" w:rsidRDefault="00451D4E" w:rsidP="00451D4E">
      <w:pPr>
        <w:ind w:left="1440"/>
        <w:rPr>
          <w:rFonts w:cstheme="minorHAnsi"/>
          <w:color w:val="000000" w:themeColor="text1"/>
          <w:sz w:val="20"/>
          <w:szCs w:val="20"/>
        </w:rPr>
      </w:pPr>
    </w:p>
    <w:p w14:paraId="4E1D93D0" w14:textId="142A90BC" w:rsidR="005361FA" w:rsidRPr="00593E09" w:rsidRDefault="005361FA" w:rsidP="005361FA">
      <w:pPr>
        <w:pStyle w:val="Odstavecseseznamem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cs-CZ"/>
        </w:rPr>
      </w:pPr>
      <w:r w:rsidRPr="00593E09">
        <w:rPr>
          <w:rFonts w:eastAsia="Times New Roman" w:cstheme="minorHAnsi"/>
          <w:color w:val="000000" w:themeColor="text1"/>
          <w:sz w:val="24"/>
          <w:szCs w:val="24"/>
          <w:lang w:eastAsia="cs-CZ"/>
        </w:rPr>
        <w:t>Describe the behavior of Clear Timer on Compare and Fast PWM modes.</w:t>
      </w:r>
    </w:p>
    <w:p w14:paraId="75209664" w14:textId="7C003AA0" w:rsidR="008511C0" w:rsidRDefault="008511C0" w:rsidP="00242FDC">
      <w:pPr>
        <w:pStyle w:val="Odstavecseseznamem"/>
        <w:numPr>
          <w:ilvl w:val="0"/>
          <w:numId w:val="5"/>
        </w:numPr>
        <w:rPr>
          <w:rFonts w:cstheme="minorHAnsi"/>
          <w:color w:val="000000" w:themeColor="text1"/>
          <w:sz w:val="20"/>
          <w:szCs w:val="20"/>
        </w:rPr>
      </w:pPr>
      <w:r w:rsidRPr="008511C0">
        <w:rPr>
          <w:rFonts w:cstheme="minorHAnsi"/>
          <w:color w:val="000000" w:themeColor="text1"/>
          <w:sz w:val="20"/>
          <w:szCs w:val="20"/>
        </w:rPr>
        <w:t xml:space="preserve">Časovač v normálním režimu počítá a nastavuje porovnávací bit ve stavovém registru časovače, když se čítač shoduje s porovnávacím registrem, a nastavuje bit přetečení, když se zalomí zpět na nulu. Pokud jsou aktivovány bity aktivace přerušení pro jeden nebo druhý z těchto bitů, avr bude přerušeno. V režimu </w:t>
      </w:r>
      <w:r w:rsidRPr="008511C0">
        <w:t>Fast</w:t>
      </w:r>
      <w:r>
        <w:t> </w:t>
      </w:r>
      <w:r w:rsidRPr="008511C0">
        <w:t>PWM</w:t>
      </w:r>
      <w:r w:rsidRPr="008511C0">
        <w:rPr>
          <w:rFonts w:cstheme="minorHAnsi"/>
          <w:color w:val="000000" w:themeColor="text1"/>
          <w:sz w:val="20"/>
          <w:szCs w:val="20"/>
        </w:rPr>
        <w:t xml:space="preserve"> je výstup pro porovnání výstupu spojený s tímto časovačem nastaven, když se časovač dostane na hodnotu reg srovnání výstupu a resetuje se na 0.</w:t>
      </w:r>
    </w:p>
    <w:p w14:paraId="7162CD56" w14:textId="7375468D" w:rsidR="00242FDC" w:rsidRPr="00242FDC" w:rsidRDefault="00EB1DCF" w:rsidP="00242FDC">
      <w:pPr>
        <w:pStyle w:val="Odstavecseseznamem"/>
        <w:numPr>
          <w:ilvl w:val="0"/>
          <w:numId w:val="5"/>
        </w:numPr>
        <w:rPr>
          <w:rFonts w:cstheme="minorHAnsi"/>
          <w:color w:val="000000" w:themeColor="text1"/>
          <w:sz w:val="20"/>
          <w:szCs w:val="20"/>
        </w:rPr>
      </w:pPr>
      <w:r w:rsidRPr="00AC569A">
        <w:rPr>
          <w:rFonts w:cstheme="minorHAnsi"/>
          <w:color w:val="000000" w:themeColor="text1"/>
          <w:sz w:val="20"/>
          <w:szCs w:val="20"/>
        </w:rPr>
        <w:t>Clear timer</w:t>
      </w:r>
      <w:r w:rsidRPr="00AC569A">
        <w:rPr>
          <w:rFonts w:cstheme="minorHAnsi"/>
          <w:color w:val="000000" w:themeColor="text1"/>
          <w:sz w:val="20"/>
          <w:szCs w:val="20"/>
        </w:rPr>
        <w:t xml:space="preserve"> v režimu porovnání nebo v režimu CTC se registr OCR0A používá k manipulaci s rozlišením čítače.</w:t>
      </w:r>
      <w:r w:rsidR="00AC569A" w:rsidRPr="00AC569A">
        <w:rPr>
          <w:rFonts w:cstheme="minorHAnsi"/>
          <w:color w:val="000000" w:themeColor="text1"/>
          <w:sz w:val="20"/>
          <w:szCs w:val="20"/>
        </w:rPr>
        <w:t xml:space="preserve"> </w:t>
      </w:r>
      <w:r w:rsidR="00AC569A" w:rsidRPr="00AC569A">
        <w:rPr>
          <w:rFonts w:cstheme="minorHAnsi"/>
          <w:color w:val="000000" w:themeColor="text1"/>
          <w:sz w:val="20"/>
          <w:szCs w:val="20"/>
        </w:rPr>
        <w:br/>
      </w:r>
      <w:r w:rsidRPr="00AC569A">
        <w:rPr>
          <w:rFonts w:cstheme="minorHAnsi"/>
          <w:color w:val="000000" w:themeColor="text1"/>
          <w:sz w:val="20"/>
          <w:szCs w:val="20"/>
        </w:rPr>
        <w:t>V režimu CTC je čítač vymazán na nulu, když hodnota čítače (TCNT0) odpovídá OCR0A. OCR0A definuje vrchol</w:t>
      </w:r>
      <w:r w:rsidR="00AC569A">
        <w:rPr>
          <w:rFonts w:cstheme="minorHAnsi"/>
          <w:color w:val="000000" w:themeColor="text1"/>
          <w:sz w:val="20"/>
          <w:szCs w:val="20"/>
        </w:rPr>
        <w:t xml:space="preserve"> </w:t>
      </w:r>
      <w:r w:rsidRPr="00AC569A">
        <w:rPr>
          <w:rFonts w:cstheme="minorHAnsi"/>
          <w:color w:val="000000" w:themeColor="text1"/>
          <w:sz w:val="20"/>
          <w:szCs w:val="20"/>
        </w:rPr>
        <w:t>hodnot</w:t>
      </w:r>
      <w:r w:rsidRPr="00AC569A">
        <w:rPr>
          <w:rFonts w:cstheme="minorHAnsi"/>
          <w:color w:val="000000" w:themeColor="text1"/>
          <w:sz w:val="20"/>
          <w:szCs w:val="20"/>
        </w:rPr>
        <w:t>y</w:t>
      </w:r>
      <w:r w:rsidRPr="00AC569A">
        <w:rPr>
          <w:rFonts w:cstheme="minorHAnsi"/>
          <w:color w:val="000000" w:themeColor="text1"/>
          <w:sz w:val="20"/>
          <w:szCs w:val="20"/>
        </w:rPr>
        <w:t xml:space="preserve"> čítače, tedy také jeho rozlišení. Tento režim umožňuje větší kontrolu nad porovnání shody</w:t>
      </w:r>
      <w:r w:rsidRPr="00AC569A">
        <w:rPr>
          <w:rFonts w:cstheme="minorHAnsi"/>
          <w:color w:val="000000" w:themeColor="text1"/>
          <w:sz w:val="20"/>
          <w:szCs w:val="20"/>
        </w:rPr>
        <w:t xml:space="preserve"> </w:t>
      </w:r>
      <w:r w:rsidRPr="00AC569A">
        <w:rPr>
          <w:rFonts w:cstheme="minorHAnsi"/>
          <w:color w:val="000000" w:themeColor="text1"/>
          <w:sz w:val="20"/>
          <w:szCs w:val="20"/>
        </w:rPr>
        <w:t>výstupní frekvenc</w:t>
      </w:r>
      <w:r w:rsidRPr="00AC569A">
        <w:rPr>
          <w:rFonts w:cstheme="minorHAnsi"/>
          <w:color w:val="000000" w:themeColor="text1"/>
          <w:sz w:val="20"/>
          <w:szCs w:val="20"/>
        </w:rPr>
        <w:t>e</w:t>
      </w:r>
      <w:r w:rsidRPr="00AC569A">
        <w:rPr>
          <w:rFonts w:cstheme="minorHAnsi"/>
          <w:color w:val="000000" w:themeColor="text1"/>
          <w:sz w:val="20"/>
          <w:szCs w:val="20"/>
        </w:rPr>
        <w:t>.</w:t>
      </w:r>
    </w:p>
    <w:sectPr w:rsidR="00242FDC" w:rsidRPr="00242FDC" w:rsidSect="001C77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0031F"/>
    <w:multiLevelType w:val="hybridMultilevel"/>
    <w:tmpl w:val="0FF2242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7F657A"/>
    <w:multiLevelType w:val="hybridMultilevel"/>
    <w:tmpl w:val="75D6F582"/>
    <w:lvl w:ilvl="0" w:tplc="0405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506" w:hanging="360"/>
      </w:pPr>
    </w:lvl>
    <w:lvl w:ilvl="2" w:tplc="0405001B" w:tentative="1">
      <w:start w:val="1"/>
      <w:numFmt w:val="lowerRoman"/>
      <w:lvlText w:val="%3."/>
      <w:lvlJc w:val="right"/>
      <w:pPr>
        <w:ind w:left="2226" w:hanging="180"/>
      </w:pPr>
    </w:lvl>
    <w:lvl w:ilvl="3" w:tplc="0405000F" w:tentative="1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49F1B61"/>
    <w:multiLevelType w:val="hybridMultilevel"/>
    <w:tmpl w:val="A38EFC66"/>
    <w:lvl w:ilvl="0" w:tplc="7C3A3CF2">
      <w:start w:val="1"/>
      <w:numFmt w:val="decimal"/>
      <w:lvlText w:val="%1)"/>
      <w:lvlJc w:val="left"/>
      <w:pPr>
        <w:ind w:left="1080" w:hanging="360"/>
      </w:pPr>
      <w:rPr>
        <w:rFonts w:ascii="Segoe UI" w:hAnsi="Segoe UI" w:cs="Segoe UI" w:hint="default"/>
        <w:color w:val="24292E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2C07408"/>
    <w:multiLevelType w:val="hybridMultilevel"/>
    <w:tmpl w:val="5240DF72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F484874"/>
    <w:multiLevelType w:val="multilevel"/>
    <w:tmpl w:val="B1848C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21"/>
    <w:rsid w:val="000A623B"/>
    <w:rsid w:val="001173BA"/>
    <w:rsid w:val="00175499"/>
    <w:rsid w:val="001C7706"/>
    <w:rsid w:val="00242FDC"/>
    <w:rsid w:val="00255C33"/>
    <w:rsid w:val="002768C1"/>
    <w:rsid w:val="003640C6"/>
    <w:rsid w:val="00451D4E"/>
    <w:rsid w:val="005361FA"/>
    <w:rsid w:val="0056424E"/>
    <w:rsid w:val="00593E09"/>
    <w:rsid w:val="005F0546"/>
    <w:rsid w:val="007214E6"/>
    <w:rsid w:val="007822D2"/>
    <w:rsid w:val="008511C0"/>
    <w:rsid w:val="008726F0"/>
    <w:rsid w:val="0093794D"/>
    <w:rsid w:val="00A715F4"/>
    <w:rsid w:val="00AC569A"/>
    <w:rsid w:val="00AD57A4"/>
    <w:rsid w:val="00B50921"/>
    <w:rsid w:val="00C15AC6"/>
    <w:rsid w:val="00CA2BA5"/>
    <w:rsid w:val="00DA1053"/>
    <w:rsid w:val="00E11A08"/>
    <w:rsid w:val="00EB1DCF"/>
    <w:rsid w:val="00F40D0B"/>
    <w:rsid w:val="00FB44E9"/>
    <w:rsid w:val="00FD4785"/>
    <w:rsid w:val="00FE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F3BA"/>
  <w15:chartTrackingRefBased/>
  <w15:docId w15:val="{AA0A5FA0-AF7E-496C-916B-65FEB458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FD4785"/>
    <w:pPr>
      <w:ind w:left="720"/>
      <w:contextualSpacing/>
    </w:pPr>
  </w:style>
  <w:style w:type="paragraph" w:customStyle="1" w:styleId="q-text">
    <w:name w:val="q-text"/>
    <w:basedOn w:val="Normln"/>
    <w:rsid w:val="002768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2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5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34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3879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29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4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9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3</Pages>
  <Words>232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Pastušek Václav (204437)</dc:creator>
  <cp:keywords/>
  <dc:description/>
  <cp:lastModifiedBy>Pastušek Václav (204437)</cp:lastModifiedBy>
  <cp:revision>27</cp:revision>
  <dcterms:created xsi:type="dcterms:W3CDTF">2020-10-17T09:47:00Z</dcterms:created>
  <dcterms:modified xsi:type="dcterms:W3CDTF">2020-10-17T21:33:00Z</dcterms:modified>
</cp:coreProperties>
</file>