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82E1C">
      <w:pPr>
        <w:pStyle w:val="12"/>
        <w:jc w:val="left"/>
      </w:pPr>
      <w:r>
        <w:t>ansys仿真实操</w:t>
      </w:r>
    </w:p>
    <w:p w14:paraId="7D43FCA5">
      <w:pPr>
        <w:pStyle w:val="3"/>
        <w:jc w:val="left"/>
      </w:pPr>
      <w:r>
        <w:t>专题一：workbench前处理</w:t>
      </w:r>
    </w:p>
    <w:p w14:paraId="0FC11DF4">
      <w:pPr>
        <w:jc w:val="left"/>
      </w:pPr>
      <w:r>
        <w:drawing>
          <wp:inline distT="0" distB="0" distL="0" distR="0">
            <wp:extent cx="5270500" cy="3296285"/>
            <wp:effectExtent l="0" t="0" r="0" b="0"/>
            <wp:docPr id="1" name="Picture 5" descr="6YTPSCZKABQB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6YTPSCZKABQB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705D">
      <w:pPr>
        <w:pStyle w:val="4"/>
        <w:numPr>
          <w:ilvl w:val="0"/>
          <w:numId w:val="2"/>
        </w:numPr>
        <w:ind w:left="420" w:hanging="420"/>
        <w:jc w:val="left"/>
      </w:pPr>
      <w:r>
        <w:t>workbench基础</w:t>
      </w:r>
    </w:p>
    <w:p w14:paraId="0CA02684">
      <w:pPr>
        <w:jc w:val="left"/>
      </w:pPr>
      <w:r>
        <w:t>单个分析系统结构：</w:t>
      </w:r>
    </w:p>
    <w:p w14:paraId="48041358">
      <w:pPr>
        <w:jc w:val="left"/>
      </w:pPr>
      <w:r>
        <w:drawing>
          <wp:inline distT="0" distB="0" distL="0" distR="0">
            <wp:extent cx="5270500" cy="397510"/>
            <wp:effectExtent l="0" t="0" r="0" b="0"/>
            <wp:docPr id="2" name="Picture 6" descr="HOQQADBKACQ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HOQQADBKACQAW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5C8D">
      <w:pPr>
        <w:jc w:val="left"/>
      </w:pPr>
      <w:r>
        <w:t>数据共享：数据在两个模块之间共享，意味着实际上只有一个底层数据对象同时服务于两个模块。变更 单元会立即影响对方，因为它们本质上是数据相同。共享连接用方形连接器表示</w:t>
      </w:r>
    </w:p>
    <w:p w14:paraId="12E4BFED">
      <w:pPr>
        <w:jc w:val="left"/>
      </w:pPr>
      <w:r>
        <w:drawing>
          <wp:inline distT="0" distB="0" distL="0" distR="0">
            <wp:extent cx="3648075" cy="1504950"/>
            <wp:effectExtent l="0" t="0" r="0" b="0"/>
            <wp:docPr id="3" name="Picture 7" descr="J2WQGDBKACQ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J2WQGDBKACQG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0F98">
      <w:pPr>
        <w:jc w:val="left"/>
      </w:pPr>
      <w:r>
        <w:t>数据提供：上游模块向下游模块提供输入数据。变更上游单元将标记为需要刷新。 连接用圆形连接器表示，双方并不是同一个模型对象。</w:t>
      </w:r>
    </w:p>
    <w:p w14:paraId="2D5D564E">
      <w:pPr>
        <w:jc w:val="left"/>
      </w:pPr>
      <w:r>
        <w:drawing>
          <wp:inline distT="0" distB="0" distL="0" distR="0">
            <wp:extent cx="3962400" cy="1057275"/>
            <wp:effectExtent l="0" t="0" r="0" b="0"/>
            <wp:docPr id="4" name="Picture 8" descr="6PCQMDBKAAA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6PCQMDBKAAAC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BC71">
      <w:pPr>
        <w:jc w:val="left"/>
      </w:pPr>
      <w:r>
        <w:t>创建数据共享的方式：</w:t>
      </w:r>
    </w:p>
    <w:p w14:paraId="0367A361">
      <w:pPr>
        <w:jc w:val="left"/>
      </w:pPr>
      <w:r>
        <w:t>1、拖动新的模块到原有模块对应位置，例如，原有静力学分析，课程Toolbox拖动模态到静力学几何上</w:t>
      </w:r>
    </w:p>
    <w:p w14:paraId="5575A0F4">
      <w:pPr>
        <w:jc w:val="left"/>
      </w:pPr>
      <w:r>
        <w:drawing>
          <wp:inline distT="0" distB="0" distL="0" distR="0">
            <wp:extent cx="3448050" cy="2059305"/>
            <wp:effectExtent l="0" t="0" r="0" b="0"/>
            <wp:docPr id="5" name="Picture 9" descr="3NNWODBKADQ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3NNWODBKADQD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5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90E6">
      <w:pPr>
        <w:jc w:val="left"/>
      </w:pPr>
      <w:r>
        <w:t>2、Geometry右键创建下游系统</w:t>
      </w:r>
    </w:p>
    <w:p w14:paraId="6423717F">
      <w:pPr>
        <w:jc w:val="left"/>
      </w:pPr>
      <w:r>
        <w:drawing>
          <wp:inline distT="0" distB="0" distL="0" distR="0">
            <wp:extent cx="3409950" cy="2423160"/>
            <wp:effectExtent l="0" t="0" r="0" b="0"/>
            <wp:docPr id="6" name="Picture 10" descr="ISMGQDBKAA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ISMGQDBKAAAG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42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E45F">
      <w:pPr>
        <w:jc w:val="left"/>
      </w:pPr>
      <w:r>
        <w:t>3、两分析系统直接对应拖动连接</w:t>
      </w:r>
    </w:p>
    <w:p w14:paraId="639F3A2C">
      <w:pPr>
        <w:jc w:val="left"/>
      </w:pPr>
      <w:r>
        <w:rPr>
          <w:b/>
          <w:bCs/>
        </w:rPr>
        <w:t>注意：</w:t>
      </w:r>
      <w:r>
        <w:t>不能在两个已经建立好的分析系统之间事后创建Model共享；通常应从第一个系统的Model单元格直接生成第二个连接系统，如果已经分别建立了两个系统，最稳妥的做法通常是删除或保留其中一个下游系统，然后重新从上游Model生成连接系统。</w:t>
      </w:r>
    </w:p>
    <w:p w14:paraId="1E4AD416">
      <w:pPr>
        <w:jc w:val="left"/>
      </w:pPr>
      <w:r>
        <w:t>创建数据提供与共享类似，用于传递Solution分析结果，是把上游的计算结果转换为下游分析的载荷、初始条件、或预应力状态。</w:t>
      </w:r>
    </w:p>
    <w:p w14:paraId="03FCB82A">
      <w:pPr>
        <w:pStyle w:val="4"/>
        <w:numPr>
          <w:ilvl w:val="0"/>
          <w:numId w:val="2"/>
        </w:numPr>
        <w:ind w:left="420" w:hanging="420"/>
        <w:jc w:val="left"/>
      </w:pPr>
      <w:r>
        <w:t>几何前处理</w:t>
      </w:r>
    </w:p>
    <w:p w14:paraId="16CC7678">
      <w:pPr>
        <w:numPr>
          <w:ilvl w:val="0"/>
          <w:numId w:val="3"/>
        </w:numPr>
        <w:jc w:val="left"/>
      </w:pPr>
      <w:r>
        <w:t>spaceclaim和discovery</w:t>
      </w:r>
    </w:p>
    <w:p w14:paraId="33F6B7F0">
      <w:pPr>
        <w:jc w:val="left"/>
      </w:pPr>
      <w:r>
        <w:drawing>
          <wp:inline distT="0" distB="0" distL="0" distR="0">
            <wp:extent cx="5270500" cy="4420870"/>
            <wp:effectExtent l="0" t="0" r="0" b="0"/>
            <wp:docPr id="7" name="Picture 11" descr="CJONYERKABA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CJONYERKABAH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AE75">
      <w:pPr>
        <w:numPr>
          <w:ilvl w:val="0"/>
          <w:numId w:val="3"/>
        </w:numPr>
        <w:jc w:val="left"/>
      </w:pPr>
      <w:r>
        <w:t>Ansys Discovery</w:t>
      </w:r>
    </w:p>
    <w:p w14:paraId="7AC437CA">
      <w:pPr>
        <w:jc w:val="left"/>
      </w:pPr>
      <w:r>
        <w:rPr>
          <w:b/>
          <w:bCs/>
        </w:rPr>
        <w:t>一 主要功能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 w14:paraId="7C0E6DB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center"/>
          </w:tcPr>
          <w:p w14:paraId="47E576EE">
            <w:pPr>
              <w:jc w:val="center"/>
            </w:pPr>
            <w:r>
              <w:rPr>
                <w:b/>
                <w:bCs/>
              </w:rPr>
              <w:t>功能</w:t>
            </w:r>
          </w:p>
        </w:tc>
        <w:tc>
          <w:tcPr>
            <w:tcW w:w="6793" w:type="dxa"/>
            <w:vAlign w:val="center"/>
          </w:tcPr>
          <w:p w14:paraId="6894FA24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A75697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center"/>
          </w:tcPr>
          <w:p w14:paraId="5DDF729A">
            <w:pPr>
              <w:jc w:val="center"/>
            </w:pPr>
            <w:r>
              <w:rPr>
                <w:b/>
                <w:bCs/>
              </w:rPr>
              <w:t>结构分析</w:t>
            </w:r>
          </w:p>
        </w:tc>
        <w:tc>
          <w:tcPr>
            <w:tcW w:w="6793" w:type="dxa"/>
            <w:vAlign w:val="center"/>
          </w:tcPr>
          <w:p w14:paraId="3EADCCE5">
            <w:pPr>
              <w:jc w:val="left"/>
            </w:pPr>
            <w:r>
              <w:t>支持静态和动态结构分析，可快速观察变形、应力及不同振型，并估计固有频率和共振风险。</w:t>
            </w:r>
          </w:p>
        </w:tc>
      </w:tr>
      <w:tr w14:paraId="2583EF4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center"/>
          </w:tcPr>
          <w:p w14:paraId="33550AF9">
            <w:pPr>
              <w:jc w:val="center"/>
            </w:pPr>
            <w:r>
              <w:rPr>
                <w:b/>
                <w:bCs/>
              </w:rPr>
              <w:t>流体分析</w:t>
            </w:r>
          </w:p>
        </w:tc>
        <w:tc>
          <w:tcPr>
            <w:tcW w:w="6793" w:type="dxa"/>
            <w:vAlign w:val="center"/>
          </w:tcPr>
          <w:p w14:paraId="4EB1F1BB">
            <w:pPr>
              <w:jc w:val="left"/>
            </w:pPr>
            <w:r>
              <w:t>可探索内部流动和外部流动，观察速度、压力和流线等结果。需要更详细或更高精度分析时，可进一步使用 Refine 工作流或转入 Ansys Fluent。</w:t>
            </w:r>
          </w:p>
        </w:tc>
      </w:tr>
      <w:tr w14:paraId="484A519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center"/>
          </w:tcPr>
          <w:p w14:paraId="658115E9">
            <w:pPr>
              <w:jc w:val="center"/>
            </w:pPr>
            <w:r>
              <w:rPr>
                <w:b/>
                <w:bCs/>
              </w:rPr>
              <w:t>热分析</w:t>
            </w:r>
          </w:p>
        </w:tc>
        <w:tc>
          <w:tcPr>
            <w:tcW w:w="6793" w:type="dxa"/>
            <w:vAlign w:val="center"/>
          </w:tcPr>
          <w:p w14:paraId="2922D21C">
            <w:pPr>
              <w:jc w:val="left"/>
            </w:pPr>
            <w:r>
              <w:t>可分析热传导、对流和温度分布，并支持共轭传热等热流体问题，用于评估产品的热性能。</w:t>
            </w:r>
          </w:p>
        </w:tc>
      </w:tr>
      <w:tr w14:paraId="0B2AEDE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center"/>
          </w:tcPr>
          <w:p w14:paraId="5E15DBA3">
            <w:pPr>
              <w:jc w:val="center"/>
            </w:pPr>
            <w:r>
              <w:rPr>
                <w:b/>
                <w:bCs/>
              </w:rPr>
              <w:t>拓扑优化</w:t>
            </w:r>
          </w:p>
        </w:tc>
        <w:tc>
          <w:tcPr>
            <w:tcW w:w="6793" w:type="dxa"/>
            <w:vAlign w:val="center"/>
          </w:tcPr>
          <w:p w14:paraId="18A8B7D9">
            <w:pPr>
              <w:jc w:val="left"/>
            </w:pPr>
            <w:r>
              <w:t>提供交互式拓扑优化工具，可根据载荷、约束、保留区域和制造条件调整材料分布，适用于结构减重和刚度提升。</w:t>
            </w:r>
          </w:p>
        </w:tc>
      </w:tr>
      <w:tr w14:paraId="5AE5961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center"/>
          </w:tcPr>
          <w:p w14:paraId="0E0A40FC">
            <w:pPr>
              <w:jc w:val="center"/>
            </w:pPr>
            <w:r>
              <w:rPr>
                <w:b/>
                <w:bCs/>
              </w:rPr>
              <w:t>电磁分析</w:t>
            </w:r>
          </w:p>
        </w:tc>
        <w:tc>
          <w:tcPr>
            <w:tcW w:w="6793" w:type="dxa"/>
            <w:vAlign w:val="center"/>
          </w:tcPr>
          <w:p w14:paraId="0C1DE19A">
            <w:pPr>
              <w:jc w:val="left"/>
            </w:pPr>
            <w:r>
              <w:t>可在进入 Ansys HFSS 详细研究前评估初步高频电磁概念，例如天线布置和位置变化对性能的影响。相关能力取决于 Discovery 授权等级。</w:t>
            </w:r>
          </w:p>
        </w:tc>
      </w:tr>
      <w:tr w14:paraId="6F2279F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center"/>
          </w:tcPr>
          <w:p w14:paraId="358CA127">
            <w:pPr>
              <w:jc w:val="center"/>
            </w:pPr>
            <w:r>
              <w:rPr>
                <w:b/>
                <w:bCs/>
              </w:rPr>
              <w:t>设计和几何建模</w:t>
            </w:r>
          </w:p>
        </w:tc>
        <w:tc>
          <w:tcPr>
            <w:tcW w:w="6793" w:type="dxa"/>
            <w:vAlign w:val="center"/>
          </w:tcPr>
          <w:p w14:paraId="7BB1D25B">
            <w:pPr>
              <w:jc w:val="left"/>
            </w:pPr>
            <w:r>
              <w:t>采用直接建模技术，可快速建立概念模型、零件和装配体，并能打开、修复和编辑多种 CAD 文件。</w:t>
            </w:r>
          </w:p>
        </w:tc>
      </w:tr>
      <w:tr w14:paraId="72B5496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center"/>
          </w:tcPr>
          <w:p w14:paraId="39E71573">
            <w:pPr>
              <w:jc w:val="center"/>
            </w:pPr>
            <w:r>
              <w:rPr>
                <w:b/>
                <w:bCs/>
              </w:rPr>
              <w:t>仿真模型准备</w:t>
            </w:r>
          </w:p>
        </w:tc>
        <w:tc>
          <w:tcPr>
            <w:tcW w:w="6793" w:type="dxa"/>
            <w:vAlign w:val="center"/>
          </w:tcPr>
          <w:p w14:paraId="23A2DF03">
            <w:pPr>
              <w:jc w:val="left"/>
            </w:pPr>
            <w:r>
              <w:t>可修改、简化、优化和参数化 CAD 模型，删除无关小特征，修复几何缺陷并建立仿真所需的几何分区，从而降低网格复杂度和求解成本。</w:t>
            </w:r>
          </w:p>
        </w:tc>
      </w:tr>
    </w:tbl>
    <w:p w14:paraId="500759C7">
      <w:pPr>
        <w:jc w:val="left"/>
      </w:pPr>
      <w:r>
        <w:rPr>
          <w:b/>
          <w:bCs/>
        </w:rPr>
        <w:t>二 主要优势</w:t>
      </w:r>
    </w:p>
    <w:p w14:paraId="316B28F0">
      <w:pPr>
        <w:jc w:val="left"/>
      </w:pPr>
      <w:r>
        <w:rPr>
          <w:b/>
          <w:bCs/>
        </w:rPr>
        <w:t>• 即时仿真：</w:t>
      </w:r>
      <w:r>
        <w:t>通过 GPU 加速和快速求解能力，在修改几何、材料或边界条件后迅速更新结果，使工程师能够在设计早期迭代更多方案。</w:t>
      </w:r>
    </w:p>
    <w:p w14:paraId="18FF9010">
      <w:pPr>
        <w:jc w:val="left"/>
      </w:pPr>
      <w:r>
        <w:rPr>
          <w:b/>
          <w:bCs/>
        </w:rPr>
        <w:t>• 易用性强：</w:t>
      </w:r>
      <w:r>
        <w:t>界面和工作流相对直观，将交互式建模与仿真设置结合，降低非专业仿真用户的入门门槛。</w:t>
      </w:r>
    </w:p>
    <w:p w14:paraId="0FBAB0AE">
      <w:pPr>
        <w:jc w:val="left"/>
      </w:pPr>
      <w:r>
        <w:rPr>
          <w:b/>
          <w:bCs/>
        </w:rPr>
        <w:t>• 兼顾快速探索与高精度验证：</w:t>
      </w:r>
      <w:r>
        <w:t>Explore 适合快速判断设计趋势，Refine 适合进一步提高求解精度；最终方案还可传递至 Mechanical、Fluent 或 HFSS 进行专业验证。</w:t>
      </w:r>
    </w:p>
    <w:p w14:paraId="11AB3EA5">
      <w:pPr>
        <w:jc w:val="left"/>
      </w:pPr>
      <w:r>
        <w:rPr>
          <w:b/>
          <w:bCs/>
        </w:rPr>
        <w:t>• 多物理场集成：</w:t>
      </w:r>
      <w:r>
        <w:t>能够在统一环境中处理结构、热、流体及部分电磁问题，减少不同软件之间反复转换数据和重建模型的工作量。</w:t>
      </w:r>
    </w:p>
    <w:p w14:paraId="2DD0C56B">
      <w:pPr>
        <w:jc w:val="left"/>
      </w:pPr>
      <w:r>
        <w:rPr>
          <w:b/>
          <w:bCs/>
        </w:rPr>
        <w:t>• CAD 兼容性与模型准备能力：</w:t>
      </w:r>
      <w:r>
        <w:t>能够导入和编辑多种 CAD 格式，并通过几何修复、简化、参数化和直接建模工具缩短仿真准备时间。</w:t>
      </w:r>
    </w:p>
    <w:p w14:paraId="359C9557">
      <w:pPr>
        <w:pStyle w:val="4"/>
        <w:numPr>
          <w:ilvl w:val="0"/>
          <w:numId w:val="2"/>
        </w:numPr>
        <w:ind w:left="420" w:hanging="420"/>
        <w:jc w:val="left"/>
      </w:pPr>
      <w:r>
        <w:t>网格划分</w:t>
      </w:r>
      <w:bookmarkStart w:id="0" w:name="_GoBack"/>
      <w:bookmarkEnd w:id="0"/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558E60D1-C618-4B48-8ADE-99F49C30CEB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2" w:fontKey="{B662E89E-72A3-4059-B969-1D47A6734EB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3"/>
    <w:multiLevelType w:val="multilevel"/>
    <w:tmpl w:val="20000003"/>
    <w:lvl w:ilvl="0" w:tentative="0">
      <w:start w:val="1"/>
      <w:numFmt w:val="decimal"/>
      <w:suff w:val="nothing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">
    <w:nsid w:val="20000004"/>
    <w:multiLevelType w:val="multilevel"/>
    <w:tmpl w:val="20000004"/>
    <w:lvl w:ilvl="0" w:tentative="0">
      <w:start w:val="1"/>
      <w:numFmt w:val="decimal"/>
      <w:suff w:val="nothing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7D77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1439</Words>
  <Characters>1590</Characters>
  <TotalTime>1</TotalTime>
  <ScaleCrop>false</ScaleCrop>
  <LinksUpToDate>false</LinksUpToDate>
  <CharactersWithSpaces>1626</CharactersWithSpaces>
  <Application>WPS Office_12.1.0.28792_F1E327BC-269C-435d-A152-05C5408002CA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2026-09-24T14:28:00Z</dcterms:created>
  <dc:creator>webotl</dc:creator>
  <cp:lastModifiedBy>李胜</cp:lastModifiedBy>
  <dcterms:modified xsi:type="dcterms:W3CDTF">2026-09-24T06:29:29Z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eyJoZGlkIjoiM2NjYjFlNmNjMGE3MDkxYTdkZTEyYzQ3MmMzNTMyMGEiLCJ1c2VySWQiOiI2NzM0MDA3MDEifQ==</vt:lpwstr>
  </property>
  <property fmtid="{D5CDD505-2E9C-101B-9397-08002B2CF9AE}" pid="4" name="KSOProductBuildVer">
    <vt:lpwstr>2052-12.1.0.28792</vt:lpwstr>
  </property>
  <property fmtid="{D5CDD505-2E9C-101B-9397-08002B2CF9AE}" pid="5" name="ICV">
    <vt:lpwstr>8A5A4D2D1435423ABEFF3D24DDB84F3B_12</vt:lpwstr>
  </property>
</Properties>
</file>