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Segoe UI" w:hAnsi="Segoe UI"/>
          <w:b/>
          <w:color w:val="0F172A"/>
          <w:sz w:val="40"/>
        </w:rPr>
        <w:t>STITCH-OPT SYSTEM REVISIONS &amp; UI/UX ENHANCEMENTS</w:t>
      </w:r>
    </w:p>
    <w:p>
      <w:pPr>
        <w:spacing w:after="280"/>
      </w:pPr>
      <w:r>
        <w:rPr>
          <w:rFonts w:ascii="Segoe UI" w:hAnsi="Segoe UI"/>
          <w:b/>
          <w:color w:val="4F46E5"/>
          <w:sz w:val="24"/>
        </w:rPr>
        <w:t>Administrative Directory, Design Token Harmonization &amp; Audit Ledger Transparency</w:t>
      </w:r>
    </w:p>
    <w:p>
      <w:pPr>
        <w:spacing w:after="320"/>
      </w:pPr>
      <w:r>
        <w:rPr>
          <w:rFonts w:ascii="Segoe UI" w:hAnsi="Segoe UI"/>
          <w:color w:val="334155"/>
          <w:sz w:val="20"/>
        </w:rPr>
        <w:t>This official revision document details the recent system upgrades implemented across the Stitch-Opt administration portal. It covers the resolution of interactive button confusion, column realignment, theme color harmonization, tab segregation, and transparent audit logging for user account mutations.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3168"/>
        <w:gridCol w:w="3168"/>
        <w:gridCol w:w="1152"/>
      </w:tblGrid>
      <w:tr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REVISION AREA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PREVIOUS BEHAVIOR / ISSUE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ENHANCED SOLUTION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8FAFC"/>
                <w:sz w:val="17"/>
              </w:rPr>
              <w:t>STATUS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Interactive Buttons vs. Static Status Indicators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Status indicators (Shift Status, Role, Account Status) used rounded pill bubbles and borders identical to clickable buttons, creating user confusion over what could be clicked.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Converted all static statuses into clean, plain typography without bubbles, background fills, or borders. Retained button styling strictly for actionable controls (Profile, Edit, Disable, Enable).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Action Column Slot Alignment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Customer rows had 2 action buttons while Staff rows had 3. The use of 'justify-end' caused customer buttons to shift into adjacent columns, creating a jagged appearance.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Standardized all action buttons into fixed-width slot containers (Profile w-16, Edit w-14, Disable/Enable w-16).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Removal of Unwanted Colored Indicator Dots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Small circular colored dots beside status words added visual clutter and conflicted with the requested minimalist, clean interface design.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Completely removed all colored dot indicators across both desktop tables and mobile card views.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Removal of Staff-Only Columns on Customers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In combined views, customer rows displayed internal operator fields like 'Shift Status: Offline' and 'Assigned Machine: Unassigned', which makes no sense for customers.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Restricted 'Shift Status' and 'Assigned Machine' strictly to staff accounts. On customer rows, these were replaced with customer-relevant metrics: 'Orders Placed' and 'Lifetime Spend (₱)'.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Theme Color Harmonization with Stitch-Opt Brand Tokens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Arbitrary hardcoded Tailwind colors (e.g. amber-400, emerald-400, rose-400, indigo-300) clashed with the central theme palette. Customer roles were rendered in jarring amber/yellow.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Replaced all arbitrary colors with central design system tokens: Primary (#4f46e5), Secondary (#6366f1), Accent (#3b82f6), Success (#10b981), Danger (#ef4444), and Muted Text (#94a3b8).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Segregated 2-Tab Directory (Removed 'All' Tab)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Mixing internal operators and external customers in a combined 'All' tab forced an awkward compromise in table columns.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Removed the 'All' tab completely. The personnel registry now cleanly toggles between 'Staff &amp; Operators' and 'Customers', with customized summary metrics for each.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Streamlined 7-Column Grid (Removed Bulky Role Column)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Repeating 'CUSTOMER' on every row was completely redundant, while devoting an entire column on staff for just two roles wasted horizontal screen width.</w:t>
            </w:r>
          </w:p>
        </w:tc>
        <w:tc>
          <w:tcPr>
            <w:tcW w:type="dxa" w:w="3168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Removed the standalone 'Access / Role' column. On the Staff tab, the role (Administrator / Artisan) is rendered neatly right under the username. Both tabs now share a balanced 7-column grid.</w:t>
            </w:r>
          </w:p>
        </w:tc>
        <w:tc>
          <w:tcPr>
            <w:tcW w:type="dxa" w:w="1152"/>
            <w:shd w:fill="DCFCE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F172A"/>
                <w:sz w:val="18"/>
              </w:rPr>
              <w:t>Audit Trail Target Subject Transparency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475569"/>
                <w:sz w:val="17"/>
              </w:rPr>
              <w:t>Security logs for account mutations (e.g. TOGGLE_USER_STATUS, ADMIN_PASSWORD_RESET) only showed the actor and a cryptic UUID (e.g. f1374875-2bac-46f5...) without specifying which user was modified.</w:t>
            </w:r>
          </w:p>
        </w:tc>
        <w:tc>
          <w:tcPr>
            <w:tcW w:type="dxa" w:w="3168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7"/>
              </w:rPr>
              <w:t>Enriched backend API to join and return the target user's username, email, and role (as well as product/order names). Renamed the column to 'Target Subject' and displayed the username and email prominently.</w:t>
            </w:r>
          </w:p>
        </w:tc>
        <w:tc>
          <w:tcPr>
            <w:tcW w:type="dxa" w:w="1152"/>
            <w:shd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166534"/>
                <w:sz w:val="16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t>Google Full-Window OAuth &amp; Architectural Isolation</w:t>
            </w:r>
          </w:p>
        </w:tc>
        <w:tc>
          <w:tcPr>
            <w:tcW w:type="dxa" w:w="3168"/>
          </w:tcPr>
          <w:p>
            <w:r>
              <w:t>Switching to full-window redirect auth (signInWithRedirect) broke repeatedly across localhost and Render due to browser third-party storage partitioning on cross-domain auth helpers, Express SPA wildcard routing capturing /__/auth/handler, and scattered auth listeners across UI components.</w:t>
            </w:r>
          </w:p>
        </w:tc>
        <w:tc>
          <w:tcPr>
            <w:tcW w:type="dxa" w:w="3168"/>
          </w:tcPr>
          <w:p>
            <w:r>
              <w:t>Decoupled Google authentication into an isolated 3-layer architecture: 1) Environment-aware authDomain routing (HTTPS production domains proxy /__/auth/* on the same origin via middleware/firebaseAuthProxy.js to bypass storage partitioning, while plain HTTP localhost routes via Firebase HTTPS domain to avoid ERR_SSL_PROTOCOL_ERROR), 2) Dedicated single-owner auth module (lib/googleAuth.ts) eliminating unmounted state updates, and 3) Automated backend user provisioning (authController.js) for seamless one-click onboarding.</w:t>
            </w:r>
          </w:p>
        </w:tc>
        <w:tc>
          <w:tcPr>
            <w:tcW w:type="dxa" w:w="1152"/>
          </w:tcPr>
          <w:p>
            <w:r>
              <w:t>ACTIVE</w:t>
            </w:r>
          </w:p>
        </w:tc>
      </w:tr>
    </w:tbl>
    <w:p>
      <w:pPr>
        <w:spacing w:after="280"/>
      </w:pPr>
    </w:p>
    <w:p>
      <w:pPr>
        <w:spacing w:before="240" w:after="80"/>
      </w:pPr>
      <w:r>
        <w:rPr>
          <w:rFonts w:ascii="Segoe UI" w:hAnsi="Segoe UI"/>
          <w:b/>
          <w:color w:val="0F172A"/>
          <w:sz w:val="26"/>
        </w:rPr>
        <w:t>STREAMLINED TABLE STRUCTURES (7-COLUMN GRIDS)</w:t>
      </w:r>
    </w:p>
    <w:p>
      <w:pPr>
        <w:spacing w:after="80"/>
      </w:pPr>
      <w:r>
        <w:rPr>
          <w:rFonts w:ascii="Segoe UI" w:hAnsi="Segoe UI"/>
          <w:b/>
          <w:color w:val="4F46E5"/>
          <w:sz w:val="20"/>
        </w:rPr>
        <w:t>1. Staff &amp; Operators Grid: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Staff &amp; Role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Contact Info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Shift Status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Assigned Machine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Last Active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1419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Actions</w:t>
            </w:r>
          </w:p>
        </w:tc>
      </w:tr>
      <w:tr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employ</w:t>
              <w:br/>
              <w:t>Administrator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employee@gmail.com</w:t>
              <w:br/>
              <w:t>09390074055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Offline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2nd Machine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Never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Active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[Profile] [Edit] [Disable]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Segoe UI" w:hAnsi="Segoe UI"/>
          <w:b/>
          <w:color w:val="10B981"/>
          <w:sz w:val="20"/>
        </w:rPr>
        <w:t>2. Customers Grid: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Customer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Contact Info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Orders Placed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Lifetime Spend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Last Active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1419"/>
            <w:shd w:fill="064E3B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5"/>
              </w:rPr>
              <w:t>Actions</w:t>
            </w:r>
          </w:p>
        </w:tc>
      </w:tr>
      <w:tr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Carding Baratingting</w:t>
              <w:br/>
              <w:t>Lucena City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baratingtingc@gmail.com</w:t>
              <w:br/>
              <w:t>Verified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0 orders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₱0.00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Never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Active</w:t>
            </w:r>
          </w:p>
        </w:tc>
        <w:tc>
          <w:tcPr>
            <w:tcW w:type="dxa" w:w="1419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0F172A"/>
                <w:sz w:val="15"/>
              </w:rPr>
              <w:t>[Profile] [Disable]</w:t>
            </w:r>
          </w:p>
        </w:tc>
      </w:tr>
    </w:tbl>
    <w:p>
      <w:pPr>
        <w:spacing w:after="280"/>
      </w:pPr>
    </w:p>
    <w:p>
      <w:r>
        <w:rPr>
          <w:rFonts w:ascii="Segoe UI" w:hAnsi="Segoe UI"/>
          <w:i/>
          <w:color w:val="64748B"/>
          <w:sz w:val="17"/>
        </w:rPr>
        <w:t>System Build Verification: Next.js Turbopack build succeeded with 0 errors across all routes. Express backend is connected and healthy.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