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Customer Support Agent Specification (PRD)</w:t>
      </w:r>
    </w:p>
    <w:p>
      <w:r>
        <w:t>Document Version: 2.1 | Status: Approved | Target Platform: AI Agent Factory</w:t>
      </w:r>
    </w:p>
    <w:p>
      <w:pPr>
        <w:pStyle w:val="Heading1"/>
      </w:pPr>
      <w:r>
        <w:t>1. Executive Overview &amp; Problem Statement</w:t>
      </w:r>
    </w:p>
    <w:p>
      <w:r>
        <w:t>Modern enterprise e-commerce platforms handle thousands of tier-1 support tickets daily. Manual resolution of routine order inquiries, return requests, and address modifications creates operational bottlenecks and increases customer churn. This project defines an autonomous, multi-agent AI customer support backend platform designed to resolve standard customer workflows deterministically while preserving human supervisor escalation for edge cases.</w:t>
      </w:r>
    </w:p>
    <w:p>
      <w:pPr>
        <w:pStyle w:val="Heading1"/>
      </w:pPr>
      <w:r>
        <w:t>2. Scope &amp; Agentic Capabilities</w:t>
      </w:r>
    </w:p>
    <w:p>
      <w:r>
        <w:t>The platform operates as a coordinated multi-agent system combining ReAct tool-use, Reflexion verification, and Planner-Executor orchestration. The system must process inquiries across chat channels, verify customer identity via JWT tokens, query order databases, enforce refund policy constraints, and coordinate human signoff when automated confidence falls below predefined safety thresholds.</w:t>
      </w:r>
    </w:p>
    <w:p>
      <w:pPr>
        <w:pStyle w:val="Heading1"/>
      </w:pPr>
      <w:r>
        <w:t>3. Functional Requirements (Core Specifications)</w:t>
      </w:r>
    </w:p>
    <w:p>
      <w:r>
        <w:rPr>
          <w:b/>
        </w:rPr>
        <w:t>REQ-01: Inbound Inquiry Ingestion &amp; Session Management</w:t>
        <w:br/>
      </w:r>
      <w:r>
        <w:t>The platform must expose REST and real-time WebSocket endpoints to receive customer inquiries, attach session IDs, and maintain conversational context across turns.</w:t>
      </w:r>
    </w:p>
    <w:p>
      <w:r>
        <w:rPr>
          <w:b/>
        </w:rPr>
        <w:t>REQ-02: Multi-Intent Classification &amp; Semantic Routing</w:t>
        <w:br/>
      </w:r>
      <w:r>
        <w:t>The incoming user prompt must be semantically classified into one of four primary intent categories: FAQ Information Retrieval, Order Tracking &amp; Modification, Refund &amp; Return Processing, or Complex Escalation.</w:t>
      </w:r>
    </w:p>
    <w:p>
      <w:r>
        <w:rPr>
          <w:b/>
        </w:rPr>
        <w:t>REQ-03: Order Subsystem &amp; Tool-Use Integration</w:t>
        <w:br/>
      </w:r>
      <w:r>
        <w:t>The agent must query the relational order database using deterministic tool invocation to retrieve order status, tracking numbers, line items, and delivery dates.</w:t>
      </w:r>
    </w:p>
    <w:p>
      <w:r>
        <w:rPr>
          <w:b/>
        </w:rPr>
        <w:t>REQ-04: Automated Refund Policy Enforcement Engine</w:t>
        <w:br/>
      </w:r>
      <w:r>
        <w:t>The agent must validate return requests against strict business policies: items must be within the 30-day window, item condition must be verified, and automated refund amounts must not exceed .</w:t>
      </w:r>
    </w:p>
    <w:p>
      <w:r>
        <w:rPr>
          <w:b/>
        </w:rPr>
        <w:t>REQ-05: Human-in-the-Loop (HITL) Supervisor Escalation Gate</w:t>
        <w:br/>
      </w:r>
      <w:r>
        <w:t>For transactions exceeding , suspected fraud flags, or frustrated user sentiment, the workflow must suspend execution and route an approval request to a human supervisor via WebSocket before taking destructive action.</w:t>
      </w:r>
    </w:p>
    <w:p>
      <w:r>
        <w:rPr>
          <w:b/>
        </w:rPr>
        <w:t>REQ-06: Audit Logging &amp; Telemetry Subsystem</w:t>
        <w:br/>
      </w:r>
      <w:r>
        <w:t>Every agent decision, tool execution call, reasoning step, and token cost metric must be persistently logged to SQLite audit tables with millisecond timestamps.</w:t>
      </w:r>
    </w:p>
    <w:p>
      <w:pPr>
        <w:pStyle w:val="Heading1"/>
      </w:pPr>
      <w:r>
        <w:t>4. Architecture &amp; Security Considerations</w:t>
      </w:r>
    </w:p>
    <w:p>
      <w:r>
        <w:t>All API endpoints require JWT Bearer authorization. Relational entities must be persisted using asynchronous SQLite with connection pooling. The workflow execution engine must utilize persistent LangGraph state checkpointers to guarantee crash recovery and idempotent resume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