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4"/>
          <w:szCs w:val="34"/>
        </w:rPr>
        <w:t xml:space="preserve">Modelo Matematico 2D Axisimetrico No Isotermico del Reactor ATR de Bioetanol</w:t>
      </w:r>
    </w:p>
    <w:p>
      <w:pPr>
        <w:spacing w:after="60"/>
      </w:pPr>
      <w:r>
        <w:rPr>
          <w:rFonts w:ascii="Calibri" w:cs="Calibri" w:eastAsia="Calibri" w:hAnsi="Calibri"/>
          <w:i/>
          <w:iCs/>
          <w:color w:val="404040"/>
          <w:sz w:val="24"/>
          <w:szCs w:val="24"/>
        </w:rPr>
        <w:t xml:space="preserve">Resumen de la formulacion matematica y tabla de parametros cineticos/fisicos iniciales</w:t>
      </w:r>
    </w:p>
    <w:p>
      <w:pPr>
        <w:spacing w:after="300"/>
      </w:pPr>
      <w:r>
        <w:rPr>
          <w:rFonts w:ascii="Calibri" w:cs="Calibri" w:eastAsia="Calibri" w:hAnsi="Calibri"/>
          <w:color w:val="595959"/>
          <w:sz w:val="19"/>
          <w:szCs w:val="19"/>
        </w:rPr>
        <w:t xml:space="preserve">Entregable 1 de 4 - Arquitectura tecnica del simulador interactivo (React + Node.js/Express + SQLite)</w:t>
      </w:r>
    </w:p>
    <w:p>
      <w:pPr>
        <w:pStyle w:val="Heading1"/>
        <w:spacing w:after="160" w:before="320"/>
      </w:pPr>
      <w:r>
        <w:t xml:space="preserve">1. Alcance y relacion con el documento de metodologia</w:t>
      </w:r>
    </w:p>
    <w:p>
      <w:pPr>
        <w:spacing w:after="160"/>
        <w:jc w:val="both"/>
      </w:pPr>
      <w:r>
        <w:rPr>
          <w:rFonts w:ascii="Calibri" w:cs="Calibri" w:eastAsia="Calibri" w:hAnsi="Calibri"/>
          <w:sz w:val="21"/>
          <w:szCs w:val="21"/>
        </w:rPr>
        <w:t xml:space="preserve">Este documento complementa la seccion de metodologia del articulo Q1 ("Modelo matematico en un reactor 2D para la produccion de hidrogeno mediante reformado autotermico con vapor de bioetanol") con: (i) el detalle de la red de reacciones y las expresiones cineticas efectivamente implementadas en el simulador, (ii) la tabla de parametros cineticos y fisicos con la que arranca el modelo, y (iii) las decisiones numericas tomadas para que el solver sea estable y se ejecute en tiempo real dentro de una interfaz interactiva. Las ecuaciones de conservacion (balance de materia, balance de energia, caida de presion de Ergun y condiciones de contorno) se implementaron exactamente como se formulan en el documento de metodologia; no se repiten aqui salvo cuando es necesario para justificar una decision de implementacion.</w:t>
      </w:r>
    </w:p>
    <w:p>
      <w:pPr>
        <w:spacing w:after="160"/>
        <w:jc w:val="both"/>
      </w:pPr>
      <w:r>
        <w:rPr>
          <w:rFonts w:ascii="Calibri" w:cs="Calibri" w:eastAsia="Calibri" w:hAnsi="Calibri"/>
          <w:sz w:val="21"/>
          <w:szCs w:val="21"/>
        </w:rPr>
        <w:t xml:space="preserve">Los valores numericos de esta tabla son ESTIMACIONES REPRESENTATIVAS, consistentes en orden de magnitud con la literatura citada en el documento de metodologia (Mosayebi &amp; Eghbal Ahmadi, 2026; da Silva et al., 2011; Graschinsky et al., 2012) y con estudios cineticos afines de reformado de etanol sobre catalizadores de Ni/Co soportados (ver Seccion 7). No provienen de una regresion contra datos experimentales propios. El simulador se dejo preparado -parametros centralizados en un unico modulo y replicados en SQLite- para que ese ajuste fino sea un cambio de datos, no de codigo.</w:t>
      </w:r>
    </w:p>
    <w:p>
      <w:pPr>
        <w:pStyle w:val="Heading1"/>
        <w:spacing w:after="160" w:before="320"/>
      </w:pPr>
      <w:r>
        <w:t xml:space="preserve">2. Red de reacciones y consistencia termodinamica</w:t>
      </w:r>
    </w:p>
    <w:p>
      <w:pPr>
        <w:spacing w:after="160"/>
        <w:jc w:val="both"/>
      </w:pPr>
      <w:r>
        <w:rPr>
          <w:rFonts w:ascii="Calibri" w:cs="Calibri" w:eastAsia="Calibri" w:hAnsi="Calibri"/>
          <w:sz w:val="21"/>
          <w:szCs w:val="21"/>
        </w:rPr>
        <w:t xml:space="preserve">El balance de materia del documento de metodologia usa una unica reaccion global de reformado con vapor (ESR) cuyo cociente de equilibrio, tal como aparece en la formula LHHW del documento, corresponde a la reaccion C2H5OH + 3 H2O &lt;-&gt; 2 CO2 + 6 H2. Para poder predecir tambien CO y CH4 -variables de salida requeridas por la interfaz- se completo la red con 4 reacciones adicionales. Las 5 reacciones y sus entalpias estandar de reaccion se calcularon de forma AUTOCONSISTENTE a partir de entalpias de formacion de gas ideal a 298 K (Smith, Van Ness &amp; Abbott, 2005; NIST WebBook), de modo que el balance de energia del reactor sea termodinamicamente cerrado (ver Seccion 7.1 para el detalle del calculo).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600"/>
        <w:gridCol w:w="1200"/>
      </w:tblGrid>
      <w:tr>
        <w:trPr>
          <w:tblHeader/>
        </w:trPr>
        <w:tc>
          <w:tcPr>
            <w:tcW w:type="dxa" w:w="24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Reaccion</w:t>
            </w:r>
          </w:p>
        </w:tc>
        <w:tc>
          <w:tcPr>
            <w:tcW w:type="dxa" w:w="52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Estequiometria</w:t>
            </w:r>
          </w:p>
        </w:tc>
        <w:tc>
          <w:tcPr>
            <w:tcW w:type="dxa" w:w="16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DH (kJ/mol)</w:t>
            </w:r>
          </w:p>
        </w:tc>
        <w:tc>
          <w:tcPr>
            <w:tcW w:type="dxa" w:w="12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Tipo</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R1 - ESR global</w:t>
            </w:r>
          </w:p>
        </w:tc>
        <w:tc>
          <w:tcPr>
            <w:tcW w:type="dxa" w:w="5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C2H5OH + 3 H2O -&gt; 2 CO2 + 6 H2</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173.7</w:t>
            </w:r>
          </w:p>
        </w:tc>
        <w:tc>
          <w:tcPr>
            <w:tcW w:type="dxa" w:w="1200"/>
            <w:tcMar>
              <w:top w:type="dxa" w:w="60"/>
              <w:left w:type="dxa" w:w="80"/>
              <w:bottom w:type="dxa" w:w="60"/>
              <w:right w:type="dxa" w:w="80"/>
            </w:tcMar>
          </w:tcPr>
          <w:p>
            <w:pPr>
              <w:jc w:val="center"/>
            </w:pPr>
            <w:r>
              <w:rPr>
                <w:rFonts w:ascii="Calibri" w:cs="Calibri" w:eastAsia="Calibri" w:hAnsi="Calibri"/>
                <w:b w:val="false"/>
                <w:bCs w:val="false"/>
                <w:sz w:val="18"/>
                <w:szCs w:val="18"/>
              </w:rPr>
              <w:t xml:space="preserve">Reversible</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R2 - Descomposicion</w:t>
            </w:r>
          </w:p>
        </w:tc>
        <w:tc>
          <w:tcPr>
            <w:tcW w:type="dxa" w:w="5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C2H5OH -&gt; CH4 + CO + H2</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49.8</w:t>
            </w:r>
          </w:p>
        </w:tc>
        <w:tc>
          <w:tcPr>
            <w:tcW w:type="dxa" w:w="1200"/>
            <w:tcMar>
              <w:top w:type="dxa" w:w="60"/>
              <w:left w:type="dxa" w:w="80"/>
              <w:bottom w:type="dxa" w:w="60"/>
              <w:right w:type="dxa" w:w="80"/>
            </w:tcMar>
          </w:tcPr>
          <w:p>
            <w:pPr>
              <w:jc w:val="center"/>
            </w:pPr>
            <w:r>
              <w:rPr>
                <w:rFonts w:ascii="Calibri" w:cs="Calibri" w:eastAsia="Calibri" w:hAnsi="Calibri"/>
                <w:b w:val="false"/>
                <w:bCs w:val="false"/>
                <w:sz w:val="18"/>
                <w:szCs w:val="18"/>
              </w:rPr>
              <w:t xml:space="preserve">Irreversible</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R3 - MSR</w:t>
            </w:r>
          </w:p>
        </w:tc>
        <w:tc>
          <w:tcPr>
            <w:tcW w:type="dxa" w:w="5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CH4 + H2O &lt;-&gt; CO + 3 H2</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206.1</w:t>
            </w:r>
          </w:p>
        </w:tc>
        <w:tc>
          <w:tcPr>
            <w:tcW w:type="dxa" w:w="1200"/>
            <w:tcMar>
              <w:top w:type="dxa" w:w="60"/>
              <w:left w:type="dxa" w:w="80"/>
              <w:bottom w:type="dxa" w:w="60"/>
              <w:right w:type="dxa" w:w="80"/>
            </w:tcMar>
          </w:tcPr>
          <w:p>
            <w:pPr>
              <w:jc w:val="center"/>
            </w:pPr>
            <w:r>
              <w:rPr>
                <w:rFonts w:ascii="Calibri" w:cs="Calibri" w:eastAsia="Calibri" w:hAnsi="Calibri"/>
                <w:b w:val="false"/>
                <w:bCs w:val="false"/>
                <w:sz w:val="18"/>
                <w:szCs w:val="18"/>
              </w:rPr>
              <w:t xml:space="preserve">Reversible</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R4 - WGS</w:t>
            </w:r>
          </w:p>
        </w:tc>
        <w:tc>
          <w:tcPr>
            <w:tcW w:type="dxa" w:w="5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CO + H2O &lt;-&gt; CO2 + H2</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-41.2</w:t>
            </w:r>
          </w:p>
        </w:tc>
        <w:tc>
          <w:tcPr>
            <w:tcW w:type="dxa" w:w="1200"/>
            <w:tcMar>
              <w:top w:type="dxa" w:w="60"/>
              <w:left w:type="dxa" w:w="80"/>
              <w:bottom w:type="dxa" w:w="60"/>
              <w:right w:type="dxa" w:w="80"/>
            </w:tcMar>
          </w:tcPr>
          <w:p>
            <w:pPr>
              <w:jc w:val="center"/>
            </w:pPr>
            <w:r>
              <w:rPr>
                <w:rFonts w:ascii="Calibri" w:cs="Calibri" w:eastAsia="Calibri" w:hAnsi="Calibri"/>
                <w:b w:val="false"/>
                <w:bCs w:val="false"/>
                <w:sz w:val="18"/>
                <w:szCs w:val="18"/>
              </w:rPr>
              <w:t xml:space="preserve">Reversible</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R5 - Combustion</w:t>
            </w:r>
          </w:p>
        </w:tc>
        <w:tc>
          <w:tcPr>
            <w:tcW w:type="dxa" w:w="5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C2H5OH + 3 O2 -&gt; 2 CO2 + 3 H2O</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-1277.3</w:t>
            </w:r>
          </w:p>
        </w:tc>
        <w:tc>
          <w:tcPr>
            <w:tcW w:type="dxa" w:w="1200"/>
            <w:tcMar>
              <w:top w:type="dxa" w:w="60"/>
              <w:left w:type="dxa" w:w="80"/>
              <w:bottom w:type="dxa" w:w="60"/>
              <w:right w:type="dxa" w:w="80"/>
            </w:tcMar>
          </w:tcPr>
          <w:p>
            <w:pPr>
              <w:jc w:val="center"/>
            </w:pPr>
            <w:r>
              <w:rPr>
                <w:rFonts w:ascii="Calibri" w:cs="Calibri" w:eastAsia="Calibri" w:hAnsi="Calibri"/>
                <w:b w:val="false"/>
                <w:bCs w:val="false"/>
                <w:sz w:val="18"/>
                <w:szCs w:val="18"/>
              </w:rPr>
              <w:t xml:space="preserve">Irreversible</w:t>
            </w:r>
          </w:p>
        </w:tc>
      </w:tr>
    </w:tbl>
    <w:p>
      <w:pPr>
        <w:spacing w:after="160"/>
        <w:jc w:val="both"/>
      </w:pPr>
      <w:r>
        <w:rPr>
          <w:rFonts w:ascii="Calibri" w:cs="Calibri" w:eastAsia="Calibri" w:hAnsi="Calibri"/>
          <w:sz w:val="21"/>
          <w:szCs w:val="21"/>
        </w:rPr>
        <w:t xml:space="preserve">donde eta_j (Tabla 4) es el factor de efectividad global de cada catalizador (analogo a un modulo de Thiele) y Omega es el termino de adsorcion competitiva LHHW del documento de metodologia. Para R1 (ESR global) se uso Omega al cuadrado (mecanismo de dos sitios, consistente con ser una reaccion global de varios pasos elementales); para R2-R4 se uso Omega a la primera potencia (un sitio). R5 (combustion) no se divide por Omega: se modela como una via rapida, no limitada por los mismos sitios metal-soporte que gobiernan el reformado.</w:t>
      </w:r>
    </w:p>
    <w:p>
      <w:pPr>
        <w:pStyle w:val="Heading1"/>
        <w:spacing w:after="160" w:before="320"/>
      </w:pPr>
      <w:r>
        <w:t xml:space="preserve">3. Cineticas de Arrhenius por catalizador</w:t>
      </w:r>
    </w:p>
    <w:p>
      <w:pPr>
        <w:spacing w:after="160"/>
        <w:jc w:val="both"/>
      </w:pPr>
      <w:r>
        <w:rPr>
          <w:rFonts w:ascii="Calibri" w:cs="Calibri" w:eastAsia="Calibri" w:hAnsi="Calibri"/>
          <w:sz w:val="21"/>
          <w:szCs w:val="21"/>
        </w:rPr>
        <w:t xml:space="preserve">Cada reaccion j sigue k_j = A_j * exp(-Ea_j / (R*T)), con T en Kelvin y R = 8.314462618 J/mol/K. Las unidades de A_j son las que hacen que r_j resulte en mol/(kg_cat * s) (o mol/(m3 * s) para el caso "sin catalizador", que se trata como un termino homogeneo). La Tabla 2 lista los 5 valores de A_j y Ea_j para cada uno de los 4 catalizadores del menu desplegable.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gridCol w:w="2000"/>
      </w:tblGrid>
      <w:tr>
        <w:trPr>
          <w:tblHeader/>
        </w:trPr>
        <w:tc>
          <w:tcPr>
            <w:tcW w:type="dxa" w:w="24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Catalizador</w:t>
            </w:r>
          </w:p>
        </w:tc>
        <w:tc>
          <w:tcPr>
            <w:tcW w:type="dxa" w:w="24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Reaccion</w:t>
            </w:r>
          </w:p>
        </w:tc>
        <w:tc>
          <w:tcPr>
            <w:tcW w:type="dxa" w:w="36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A (unidades ver texto)</w:t>
            </w:r>
          </w:p>
        </w:tc>
        <w:tc>
          <w:tcPr>
            <w:tcW w:type="dxa" w:w="20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Ea (kJ/mol)</w:t>
            </w:r>
          </w:p>
        </w:tc>
      </w:tr>
      <w:tr>
        <w:tc>
          <w:tcPr>
            <w:tcW w:type="dxa" w:w="2400"/>
            <w:shd w:fill="F2F2F2" w:color="auto" w:val="clear"/>
            <w:tcMar>
              <w:top w:type="dxa" w:w="60"/>
              <w:left w:type="dxa" w:w="80"/>
              <w:bottom w:type="dxa" w:w="60"/>
              <w:right w:type="dxa" w:w="80"/>
            </w:tcMar>
          </w:tcPr>
          <w:p>
            <w:pPr>
              <w:jc w:val="left"/>
            </w:pPr>
            <w:r>
              <w:rPr>
                <w:rFonts w:ascii="Calibri" w:cs="Calibri" w:eastAsia="Calibri" w:hAnsi="Calibri"/>
                <w:b/>
                <w:bCs/>
                <w:sz w:val="18"/>
                <w:szCs w:val="18"/>
              </w:rPr>
              <w:t xml:space="preserve">Sin catalizador (termico/homogeneo)</w:t>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R1 ESR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2.000 x 10^3</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148.0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R2 Descomp.</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1.500 x 10^6</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165.0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R3 MSR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4.000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172.0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R4 WGS</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3.000 x 10^1</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105.0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R5 Combustion</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1.400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118.0</w:t>
            </w:r>
          </w:p>
        </w:tc>
      </w:tr>
      <w:tr>
        <w:tc>
          <w:tcPr>
            <w:tcW w:type="dxa" w:w="2400"/>
            <w:shd w:fill="F2F2F2" w:color="auto" w:val="clear"/>
            <w:tcMar>
              <w:top w:type="dxa" w:w="60"/>
              <w:left w:type="dxa" w:w="80"/>
              <w:bottom w:type="dxa" w:w="60"/>
              <w:right w:type="dxa" w:w="80"/>
            </w:tcMar>
          </w:tcPr>
          <w:p>
            <w:pPr>
              <w:jc w:val="left"/>
            </w:pPr>
            <w:r>
              <w:rPr>
                <w:rFonts w:ascii="Calibri" w:cs="Calibri" w:eastAsia="Calibri" w:hAnsi="Calibri"/>
                <w:b/>
                <w:bCs/>
                <w:sz w:val="18"/>
                <w:szCs w:val="18"/>
              </w:rPr>
              <w:t xml:space="preserve">Niquel-Cobalto (Ni-Co)</w:t>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R1 ESR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4.800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92.0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R2 Descomp.</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2.200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88.0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R3 MSR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1.300 x 10^8</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R4 WGS</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5.500 x 10^4</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75.0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R5 Combustion</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2.800 x 10^4</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60.0</w:t>
            </w:r>
          </w:p>
        </w:tc>
      </w:tr>
      <w:tr>
        <w:tc>
          <w:tcPr>
            <w:tcW w:type="dxa" w:w="2400"/>
            <w:shd w:fill="F2F2F2" w:color="auto" w:val="clear"/>
            <w:tcMar>
              <w:top w:type="dxa" w:w="60"/>
              <w:left w:type="dxa" w:w="80"/>
              <w:bottom w:type="dxa" w:w="60"/>
              <w:right w:type="dxa" w:w="80"/>
            </w:tcMar>
          </w:tcPr>
          <w:p>
            <w:pPr>
              <w:jc w:val="left"/>
            </w:pPr>
            <w:r>
              <w:rPr>
                <w:rFonts w:ascii="Calibri" w:cs="Calibri" w:eastAsia="Calibri" w:hAnsi="Calibri"/>
                <w:b/>
                <w:bCs/>
                <w:sz w:val="18"/>
                <w:szCs w:val="18"/>
              </w:rPr>
              <w:t xml:space="preserve">Niquel-Cobalto-Cerio (Ni-Co/CeO2)</w:t>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R1 ESR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6.000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92.0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R2 Descomp.</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2.420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88.0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R3 MSR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1.495 x 10^8</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R4 WGS</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1.045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69.0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R5 Combustion</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2.940 x 10^4</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60.0</w:t>
            </w:r>
          </w:p>
        </w:tc>
      </w:tr>
      <w:tr>
        <w:tc>
          <w:tcPr>
            <w:tcW w:type="dxa" w:w="2400"/>
            <w:shd w:fill="F2F2F2" w:color="auto" w:val="clear"/>
            <w:tcMar>
              <w:top w:type="dxa" w:w="60"/>
              <w:left w:type="dxa" w:w="80"/>
              <w:bottom w:type="dxa" w:w="60"/>
              <w:right w:type="dxa" w:w="80"/>
            </w:tcMar>
          </w:tcPr>
          <w:p>
            <w:pPr>
              <w:jc w:val="left"/>
            </w:pPr>
            <w:r>
              <w:rPr>
                <w:rFonts w:ascii="Calibri" w:cs="Calibri" w:eastAsia="Calibri" w:hAnsi="Calibri"/>
                <w:b/>
                <w:bCs/>
                <w:sz w:val="18"/>
                <w:szCs w:val="18"/>
              </w:rPr>
              <w:t xml:space="preserve">Hidrotalcita (LDH modificada)</w:t>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R1 ESR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2.640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101.0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R2 Descomp.</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1.100 x 10^5</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96.0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R3 MSR</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5.850 x 10^7</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118.0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R4 WGS</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7.425 x 10^4</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75.0</w:t>
            </w:r>
          </w:p>
        </w:tc>
      </w:tr>
      <w:tr>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
            </w:r>
          </w:p>
        </w:tc>
        <w:tc>
          <w:tcPr>
            <w:tcW w:type="dxa" w:w="2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R5 Combustion</w:t>
            </w:r>
          </w:p>
        </w:tc>
        <w:tc>
          <w:tcPr>
            <w:tcW w:type="dxa" w:w="3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2.520 x 10^4</w:t>
            </w:r>
          </w:p>
        </w:tc>
        <w:tc>
          <w:tcPr>
            <w:tcW w:type="dxa" w:w="20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60.0</w:t>
            </w:r>
          </w:p>
        </w:tc>
      </w:tr>
    </w:tbl>
    <w:p>
      <w:pPr>
        <w:spacing w:after="160"/>
        <w:jc w:val="both"/>
      </w:pPr>
      <w:r>
        <w:rPr>
          <w:rFonts w:ascii="Calibri" w:cs="Calibri" w:eastAsia="Calibri" w:hAnsi="Calibri"/>
          <w:sz w:val="21"/>
          <w:szCs w:val="21"/>
        </w:rPr>
        <w:t xml:space="preserve">Notas de calibracion: (a) "Sin catalizador" usa energias de activacion notablemente mas altas (148-172 kJ/mol para las rutas de reformado) para representar quimica homogenea en fase gas sin superficie catalitica -de ahi que a temperaturas y tiempos de residencia tipicos su conversion sea baja, ilustrando por que se requiere catalizador-. (b) Ni-Co/CeO2 tiene el mismo Ea que Ni-Co para ESR/descomposicion/MSR pero un factor preexponencial de water-gas-shift ~1.9x mayor y una energia de activacion de WGS 6 kJ/mol menor, reflejando la asistencia redox del ciclo Ce4+/Ce3+ descrita en el documento de metodologia. (c) Hidrotalcita tiene actividad metalica reducida para ruptura C-C (factor ~0.5-0.55x en A de ESR/descomposicion, Ea +8-9 kJ/mol) pero WGS potenciado (~1.35x), consistente con sus sitios basicos.</w:t>
      </w:r>
    </w:p>
    <w:p>
      <w:pPr>
        <w:pStyle w:val="Heading1"/>
        <w:spacing w:after="160" w:before="320"/>
      </w:pPr>
      <w:r>
        <w:t xml:space="preserve">4. Parametros de adsorcion (Van't Hoff / LHHW)</w:t>
      </w:r>
    </w:p>
    <w:p>
      <w:pPr>
        <w:spacing w:after="160"/>
        <w:jc w:val="both"/>
      </w:pPr>
      <w:r>
        <w:rPr>
          <w:rFonts w:ascii="Calibri" w:cs="Calibri" w:eastAsia="Calibri" w:hAnsi="Calibri"/>
          <w:sz w:val="21"/>
          <w:szCs w:val="21"/>
        </w:rPr>
        <w:t xml:space="preserve">El termino de adsorcion competitiva usa K_i(T) = K0_i * exp[(-DHads_i / R) * (1/T - 1/T_ref)], con T_ref = 573.15 K (~300 C, punto medio tipico de operacion ATR) para que los K0_i quedan expresados como el valor de K_i en ese punto de referencia (bar^-1). La Tabla 3 lista K0_i y DHads_i (adsorcion, por lo tanto exotermica: DHads_i &lt; 0) para el catalizador base (Ni-Co); Ni-Co/CeO2 y Hidrotalcita aplican factores multiplicativos sobre K0 (ver codigo fuente, modulo kinetics/catalysts.js) para reflejar mayor quimisorcion de CO/CO2 (Ce) o de CO2 (sitios basicos de la hidrotalcita).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3500"/>
      </w:tblGrid>
      <w:tr>
        <w:trPr>
          <w:tblHeader/>
        </w:trPr>
        <w:tc>
          <w:tcPr>
            <w:tcW w:type="dxa" w:w="34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Especie (i)</w:t>
            </w:r>
          </w:p>
        </w:tc>
        <w:tc>
          <w:tcPr>
            <w:tcW w:type="dxa" w:w="35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K0_i @573K (bar^-1)</w:t>
            </w:r>
          </w:p>
        </w:tc>
        <w:tc>
          <w:tcPr>
            <w:tcW w:type="dxa" w:w="35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DHads_i (kJ/mol)</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C2H5OH</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0.420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-38.0</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H2O</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0.180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-25.0</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CO</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0.900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-70.0</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CO2</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0.320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-32.0</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H2 (como K_H2^0.5)</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0.600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-50.0</w:t>
            </w:r>
          </w:p>
        </w:tc>
      </w:tr>
      <w:tr>
        <w:tc>
          <w:tcPr>
            <w:tcW w:type="dxa" w:w="3400"/>
            <w:tcMar>
              <w:top w:type="dxa" w:w="60"/>
              <w:left w:type="dxa" w:w="80"/>
              <w:bottom w:type="dxa" w:w="60"/>
              <w:right w:type="dxa" w:w="80"/>
            </w:tcMar>
          </w:tcPr>
          <w:p>
            <w:pPr>
              <w:jc w:val="left"/>
            </w:pPr>
            <w:r>
              <w:rPr>
                <w:rFonts w:ascii="Calibri" w:cs="Calibri" w:eastAsia="Calibri" w:hAnsi="Calibri"/>
                <w:b w:val="false"/>
                <w:bCs w:val="false"/>
                <w:sz w:val="18"/>
                <w:szCs w:val="18"/>
              </w:rPr>
              <w:t xml:space="preserve">CH4</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0.150</w:t>
            </w:r>
          </w:p>
        </w:tc>
        <w:tc>
          <w:tcPr>
            <w:tcW w:type="dxa" w:w="3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-20.0</w:t>
            </w:r>
          </w:p>
        </w:tc>
      </w:tr>
    </w:tbl>
    <w:p>
      <w:pPr>
        <w:pStyle w:val="Heading1"/>
        <w:spacing w:after="160" w:before="320"/>
      </w:pPr>
      <w:r>
        <w:t xml:space="preserve">5. Propiedades de lecho y geometria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400"/>
        <w:gridCol w:w="1500"/>
        <w:gridCol w:w="1600"/>
      </w:tblGrid>
      <w:tr>
        <w:trPr>
          <w:tblHeader/>
        </w:trPr>
        <w:tc>
          <w:tcPr>
            <w:tcW w:type="dxa" w:w="32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Catalizador</w:t>
            </w:r>
          </w:p>
        </w:tc>
        <w:tc>
          <w:tcPr>
            <w:tcW w:type="dxa" w:w="17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eps_b (-)</w:t>
            </w:r>
          </w:p>
        </w:tc>
        <w:tc>
          <w:tcPr>
            <w:tcW w:type="dxa" w:w="24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rho_b (kg/m3 solido)</w:t>
            </w:r>
          </w:p>
        </w:tc>
        <w:tc>
          <w:tcPr>
            <w:tcW w:type="dxa" w:w="15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dp (mm)</w:t>
            </w:r>
          </w:p>
        </w:tc>
        <w:tc>
          <w:tcPr>
            <w:tcW w:type="dxa" w:w="1600"/>
            <w:shd w:fill="D9D9D9" w:color="auto" w:val="clear"/>
            <w:tcMar>
              <w:top w:type="dxa" w:w="60"/>
              <w:left w:type="dxa" w:w="80"/>
              <w:bottom w:type="dxa" w:w="60"/>
              <w:right w:type="dxa" w:w="80"/>
            </w:tcMar>
          </w:tcPr>
          <w:p>
            <w:pPr>
              <w:jc w:val="center"/>
            </w:pPr>
            <w:r>
              <w:rPr>
                <w:rFonts w:ascii="Calibri" w:cs="Calibri" w:eastAsia="Calibri" w:hAnsi="Calibri"/>
                <w:b/>
                <w:bCs/>
                <w:sz w:val="18"/>
                <w:szCs w:val="18"/>
              </w:rPr>
              <w:t xml:space="preserve">eta (-)</w:t>
            </w:r>
          </w:p>
        </w:tc>
      </w:tr>
      <w:tr>
        <w:tc>
          <w:tcPr>
            <w:tcW w:type="dxa" w:w="3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Sin catalizador (termico/homogeneo)</w:t>
            </w:r>
          </w:p>
        </w:tc>
        <w:tc>
          <w:tcPr>
            <w:tcW w:type="dxa" w:w="17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0.985</w:t>
            </w:r>
          </w:p>
        </w:tc>
        <w:tc>
          <w:tcPr>
            <w:tcW w:type="dxa" w:w="24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200</w:t>
            </w:r>
          </w:p>
        </w:tc>
        <w:tc>
          <w:tcPr>
            <w:tcW w:type="dxa" w:w="1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4.00</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1.00</w:t>
            </w:r>
          </w:p>
        </w:tc>
      </w:tr>
      <w:tr>
        <w:tc>
          <w:tcPr>
            <w:tcW w:type="dxa" w:w="3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Niquel-Cobalto (Ni-Co)</w:t>
            </w:r>
          </w:p>
        </w:tc>
        <w:tc>
          <w:tcPr>
            <w:tcW w:type="dxa" w:w="17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0.420</w:t>
            </w:r>
          </w:p>
        </w:tc>
        <w:tc>
          <w:tcPr>
            <w:tcW w:type="dxa" w:w="24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1450</w:t>
            </w:r>
          </w:p>
        </w:tc>
        <w:tc>
          <w:tcPr>
            <w:tcW w:type="dxa" w:w="1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3.50</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0.72</w:t>
            </w:r>
          </w:p>
        </w:tc>
      </w:tr>
      <w:tr>
        <w:tc>
          <w:tcPr>
            <w:tcW w:type="dxa" w:w="3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Niquel-Cobalto-Cerio (Ni-Co/CeO2)</w:t>
            </w:r>
          </w:p>
        </w:tc>
        <w:tc>
          <w:tcPr>
            <w:tcW w:type="dxa" w:w="17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0.400</w:t>
            </w:r>
          </w:p>
        </w:tc>
        <w:tc>
          <w:tcPr>
            <w:tcW w:type="dxa" w:w="24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1650</w:t>
            </w:r>
          </w:p>
        </w:tc>
        <w:tc>
          <w:tcPr>
            <w:tcW w:type="dxa" w:w="1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3.50</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0.86</w:t>
            </w:r>
          </w:p>
        </w:tc>
      </w:tr>
      <w:tr>
        <w:tc>
          <w:tcPr>
            <w:tcW w:type="dxa" w:w="3200"/>
            <w:tcMar>
              <w:top w:type="dxa" w:w="60"/>
              <w:left w:type="dxa" w:w="80"/>
              <w:bottom w:type="dxa" w:w="60"/>
              <w:right w:type="dxa" w:w="80"/>
            </w:tcMar>
          </w:tcPr>
          <w:p>
            <w:pPr>
              <w:jc w:val="left"/>
            </w:pPr>
            <w:r>
              <w:rPr>
                <w:rFonts w:ascii="Calibri" w:cs="Calibri" w:eastAsia="Calibri" w:hAnsi="Calibri"/>
                <w:b w:val="false"/>
                <w:bCs w:val="false"/>
                <w:sz w:val="18"/>
                <w:szCs w:val="18"/>
              </w:rPr>
              <w:t xml:space="preserve">Hidrotalcita (LDH modificada)</w:t>
            </w:r>
          </w:p>
        </w:tc>
        <w:tc>
          <w:tcPr>
            <w:tcW w:type="dxa" w:w="17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0.450</w:t>
            </w:r>
          </w:p>
        </w:tc>
        <w:tc>
          <w:tcPr>
            <w:tcW w:type="dxa" w:w="24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1100</w:t>
            </w:r>
          </w:p>
        </w:tc>
        <w:tc>
          <w:tcPr>
            <w:tcW w:type="dxa" w:w="15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4.00</w:t>
            </w:r>
          </w:p>
        </w:tc>
        <w:tc>
          <w:tcPr>
            <w:tcW w:type="dxa" w:w="1600"/>
            <w:tcMar>
              <w:top w:type="dxa" w:w="60"/>
              <w:left w:type="dxa" w:w="80"/>
              <w:bottom w:type="dxa" w:w="60"/>
              <w:right w:type="dxa" w:w="80"/>
            </w:tcMar>
          </w:tcPr>
          <w:p>
            <w:pPr>
              <w:jc w:val="right"/>
            </w:pPr>
            <w:r>
              <w:rPr>
                <w:rFonts w:ascii="Calibri" w:cs="Calibri" w:eastAsia="Calibri" w:hAnsi="Calibri"/>
                <w:b w:val="false"/>
                <w:bCs w:val="false"/>
                <w:sz w:val="18"/>
                <w:szCs w:val="18"/>
              </w:rPr>
              <w:t xml:space="preserve">0.55</w:t>
            </w:r>
          </w:p>
        </w:tc>
      </w:tr>
    </w:tbl>
    <w:p>
      <w:pPr>
        <w:spacing w:after="160"/>
        <w:jc w:val="both"/>
      </w:pPr>
      <w:r>
        <w:rPr>
          <w:rFonts w:ascii="Calibri" w:cs="Calibri" w:eastAsia="Calibri" w:hAnsi="Calibri"/>
          <w:sz w:val="21"/>
          <w:szCs w:val="21"/>
        </w:rPr>
        <w:t xml:space="preserve">La longitud del reactor se fija en L = 0.40 m (segun especificacion). El radio del tubo se fijo en Rt = 1.5 cm como parametro de diseno de un reactor piloto tubular, consistente con el termino "escala piloto" del documento de metodologia; es ajustable via la API (Rt_m) para quien necesite replicar una geometria especifica.</w:t>
      </w:r>
    </w:p>
    <w:p>
      <w:pPr>
        <w:pStyle w:val="Heading1"/>
        <w:spacing w:after="160" w:before="320"/>
      </w:pPr>
      <w:r>
        <w:t xml:space="preserve">6. Propiedades de transporte y correlaciones fisicas</w:t>
      </w:r>
    </w:p>
    <w:p>
      <w:pPr>
        <w:spacing w:after="160"/>
        <w:jc w:val="both"/>
      </w:pPr>
      <w:r>
        <w:rPr>
          <w:rFonts w:ascii="Calibri" w:cs="Calibri" w:eastAsia="Calibri" w:hAnsi="Calibri"/>
          <w:sz w:val="21"/>
          <w:szCs w:val="21"/>
        </w:rPr>
        <w:t xml:space="preserve">Las propiedades de la mezcla gaseosa se evaluan localmente en cada nodo (r,z) a partir de composicion y temperatura:</w:t>
      </w:r>
    </w:p>
    <w:p>
      <w:pPr>
        <w:pStyle w:val="ListParagraph"/>
        <w:numPr>
          <w:ilvl w:val="0"/>
          <w:numId w:val="1"/>
        </w:numPr>
        <w:spacing w:after="80"/>
      </w:pPr>
      <w:r>
        <w:rPr>
          <w:rFonts w:ascii="Calibri" w:cs="Calibri" w:eastAsia="Calibri" w:hAnsi="Calibri"/>
          <w:sz w:val="21"/>
          <w:szCs w:val="21"/>
        </w:rPr>
        <w:t xml:space="preserve">Capacidad calorifica: Cp_ig,i(T)/R = A + B*T + C*T^2 + D/T^2 (Smith, Van Ness &amp; Abbott, Tabla C.1); la capacidad calorifica volumetrica del fluido se calcula directamente como rho_f*Cpf = suma(C_i * Cp_i(T)).</w:t>
      </w:r>
    </w:p>
    <w:p>
      <w:pPr>
        <w:pStyle w:val="ListParagraph"/>
        <w:numPr>
          <w:ilvl w:val="0"/>
          <w:numId w:val="1"/>
        </w:numPr>
        <w:spacing w:after="80"/>
      </w:pPr>
      <w:r>
        <w:rPr>
          <w:rFonts w:ascii="Calibri" w:cs="Calibri" w:eastAsia="Calibri" w:hAnsi="Calibri"/>
          <w:sz w:val="21"/>
          <w:szCs w:val="21"/>
        </w:rPr>
        <w:t xml:space="preserve">Viscosidad de mezcla: regla de Wilke (1950) sobre viscosidades puras con ley de potencia mu_i(T) = mu_i,300 * (T/300)^n_i.</w:t>
      </w:r>
    </w:p>
    <w:p>
      <w:pPr>
        <w:pStyle w:val="ListParagraph"/>
        <w:numPr>
          <w:ilvl w:val="0"/>
          <w:numId w:val="1"/>
        </w:numPr>
        <w:spacing w:after="80"/>
      </w:pPr>
      <w:r>
        <w:rPr>
          <w:rFonts w:ascii="Calibri" w:cs="Calibri" w:eastAsia="Calibri" w:hAnsi="Calibri"/>
          <w:sz w:val="21"/>
          <w:szCs w:val="21"/>
        </w:rPr>
        <w:t xml:space="preserve">Conductividad termica del gas: promedio ponderado por fraccion molar de conductividades puras lambda_i(T) = lambda_i,300 * (T/300)^m_i.</w:t>
      </w:r>
    </w:p>
    <w:p>
      <w:pPr>
        <w:pStyle w:val="ListParagraph"/>
        <w:numPr>
          <w:ilvl w:val="0"/>
          <w:numId w:val="1"/>
        </w:numPr>
        <w:spacing w:after="80"/>
      </w:pPr>
      <w:r>
        <w:rPr>
          <w:rFonts w:ascii="Calibri" w:cs="Calibri" w:eastAsia="Calibri" w:hAnsi="Calibri"/>
          <w:sz w:val="21"/>
          <w:szCs w:val="21"/>
        </w:rPr>
        <w:t xml:space="preserve">Densidad del fluido: ley de gases ideales, rho_f = P*M_mix / (R*T).</w:t>
      </w:r>
    </w:p>
    <w:p>
      <w:pPr>
        <w:pStyle w:val="ListParagraph"/>
        <w:numPr>
          <w:ilvl w:val="0"/>
          <w:numId w:val="1"/>
        </w:numPr>
        <w:spacing w:after="80"/>
      </w:pPr>
      <w:r>
        <w:rPr>
          <w:rFonts w:ascii="Calibri" w:cs="Calibri" w:eastAsia="Calibri" w:hAnsi="Calibri"/>
          <w:sz w:val="21"/>
          <w:szCs w:val="21"/>
        </w:rPr>
        <w:t xml:space="preserve">Dispersion/conduccion radial efectiva: D_er = max(D_mol,eff * eps_b, u_z*dp/Pe_r,masa) con Pe_r,masa(inf) = 10; lambda_er = lambda_er,estatica + u_z*dp*rho_f*Cpf/Pe_r,calor con Pe_r,calor(inf) = 8 (valores asintoticos tipicos de lecho empacado a Re alto, Froment &amp; Bischoff, 1990; Bauer &amp; Schlunder, 1978).</w:t>
      </w:r>
    </w:p>
    <w:p>
      <w:pPr>
        <w:pStyle w:val="ListParagraph"/>
        <w:numPr>
          <w:ilvl w:val="0"/>
          <w:numId w:val="1"/>
        </w:numPr>
        <w:spacing w:after="80"/>
      </w:pPr>
      <w:r>
        <w:rPr>
          <w:rFonts w:ascii="Calibri" w:cs="Calibri" w:eastAsia="Calibri" w:hAnsi="Calibri"/>
          <w:sz w:val="21"/>
          <w:szCs w:val="21"/>
        </w:rPr>
        <w:t xml:space="preserve">Caida de presion: ecuacion de Ergun modificada, exactamente como se formula en el documento de metodologia.</w:t>
      </w:r>
    </w:p>
    <w:p>
      <w:pPr>
        <w:pStyle w:val="Heading1"/>
        <w:spacing w:after="160" w:before="320"/>
      </w:pPr>
      <w:r>
        <w:t xml:space="preserve">7. Metodologia numerica del solver</w:t>
      </w:r>
    </w:p>
    <w:p>
      <w:pPr>
        <w:pStyle w:val="Heading2"/>
        <w:spacing w:after="120" w:before="240"/>
      </w:pPr>
      <w:r>
        <w:t xml:space="preserve">7.1 Consistencia termodinamica de la red de reacciones</w:t>
      </w:r>
    </w:p>
    <w:p>
      <w:pPr>
        <w:spacing w:after="160"/>
        <w:jc w:val="both"/>
      </w:pPr>
      <w:r>
        <w:rPr>
          <w:rFonts w:ascii="Calibri" w:cs="Calibri" w:eastAsia="Calibri" w:hAnsi="Calibri"/>
          <w:sz w:val="21"/>
          <w:szCs w:val="21"/>
        </w:rPr>
        <w:t xml:space="preserve">DHf (kJ/mol, gas ideal, 298 K) usadas: C2H5OH(g) = -235.1, H2O(g) = -241.8, CO = -110.5, CO2 = -393.5, CH4 = -74.8, H2 = 0, O2 = 0. Las entalpias de reaccion de la Tabla 1 son la suma estequiometrica directa de estos valores, por lo que el balance de energia del reactor (que usa esas mismas DH_j) es exactamente consistente con el balance de materia (que usa la misma matriz estequiometrica) -una condicion necesaria para que un reactor simulado como adiabatico/autotermico no gane ni pierda energia de forma artificial-.</w:t>
      </w:r>
    </w:p>
    <w:p>
      <w:pPr>
        <w:pStyle w:val="Heading2"/>
        <w:spacing w:after="120" w:before="240"/>
      </w:pPr>
      <w:r>
        <w:t xml:space="preserve">7.2 Metodo de Lineas (MOL) con separacion de operadores</w:t>
      </w:r>
    </w:p>
    <w:p>
      <w:pPr>
        <w:spacing w:after="160"/>
        <w:jc w:val="both"/>
      </w:pPr>
      <w:r>
        <w:rPr>
          <w:rFonts w:ascii="Calibri" w:cs="Calibri" w:eastAsia="Calibri" w:hAnsi="Calibri"/>
          <w:sz w:val="21"/>
          <w:szCs w:val="21"/>
        </w:rPr>
        <w:t xml:space="preserve">Siguiendo el documento de metodologia, la direccion radial se discretiza por diferencias finitas centradas de 2do orden (12-24 nodos configurables) y el sistema resultante de EDOs se integra a lo largo de z (0 a 0.40 m) en estado estacionario (se omiten los terminos transitorios d/dt: el objetivo de la interfaz es el perfil convergido para cada condicion de operacion, recalculado en cada cambio de los controles). Se usa una separacion de operadores (operator splitting, esquema tipo Godunov) en cada paso axial: la conveccion axial y la cinetica quimica se integran EXPLICITAMENTE con Runge-Kutta 4; la difusion radial se integra de forma IMPLICITA (Euler hacia atras, sistema tridiagonal resuelto con el algoritmo de Thomas). Esto evita la restriccion de estabilidad extremadamente severa que un esquema explicito completo exigiria cuando la velocidad axial u_z es pequena (flujos diluidos, espacio-tiempo alto), sin renunciar a la resolucion radial completa del documento de metodologia.</w:t>
      </w:r>
    </w:p>
    <w:p>
      <w:pPr>
        <w:spacing w:after="160"/>
        <w:jc w:val="both"/>
      </w:pPr>
      <w:r>
        <w:rPr>
          <w:rFonts w:ascii="Calibri" w:cs="Calibri" w:eastAsia="Calibri" w:hAnsi="Calibri"/>
          <w:sz w:val="21"/>
          <w:szCs w:val="21"/>
        </w:rPr>
        <w:t xml:space="preserve">El numero de pasos axiales Nz se adapta automaticamente: como el sub-paso quimico es explicito, lo que debe resolverse no es el paso dz en metros sino el TIEMPO DE RESIDENCIA POR PASO (dz/u_z); a menor u_z, el mismo dz representa mas tiempo de contacto y la cinetica se vuelve mas rigida en la variable z. El solver estima Nz para mantener ese tiempo de residencia por paso por debajo de un umbral seguro (~1e-4 s en el modo de precision completa), con un techo de 4000 pasos para acotar el tiempo de calculo.</w:t>
      </w:r>
    </w:p>
    <w:p>
      <w:pPr>
        <w:pStyle w:val="Heading2"/>
        <w:spacing w:after="120" w:before="240"/>
      </w:pPr>
      <w:r>
        <w:t xml:space="preserve">7.3 Acoplamiento con la expansion molar</w:t>
      </w:r>
    </w:p>
    <w:p>
      <w:pPr>
        <w:spacing w:after="160"/>
        <w:jc w:val="both"/>
      </w:pPr>
      <w:r>
        <w:rPr>
          <w:rFonts w:ascii="Calibri" w:cs="Calibri" w:eastAsia="Calibri" w:hAnsi="Calibri"/>
          <w:sz w:val="21"/>
          <w:szCs w:val="21"/>
        </w:rPr>
        <w:t xml:space="preserve">El reformado autotermico incrementa fuertemente el numero de moles de gas (por ejemplo, R1 produce 8 moles de gas por cada 4 moles de reactivo). El modelo trata la velocidad axial u_z como radialmente uniforme (perfil plano) pero la actualiza en cada paso a partir del balance molar total: dF_i/dz = A_transversal * &lt;fuente_i&gt;promedio-radial, con u_z(z) = F_total(z) / (A_transversal * &lt;C_total(z)&gt;promedio-radial). Esta es una simplificacion estandar en modelos pseudo-2D de lecho empacado (Froment &amp; Bischoff, 1990; Zhu et al., 2022) que preserva el acoplamiento fisico clave del ATR sin resolver un campo de velocidad radial completo.</w:t>
      </w:r>
    </w:p>
    <w:p>
      <w:pPr>
        <w:pStyle w:val="Heading2"/>
        <w:spacing w:after="120" w:before="240"/>
      </w:pPr>
      <w:r>
        <w:t xml:space="preserve">7.4 Verificacion de cierre de balance de masa</w:t>
      </w:r>
    </w:p>
    <w:p>
      <w:pPr>
        <w:spacing w:after="160"/>
        <w:jc w:val="both"/>
      </w:pPr>
      <w:r>
        <w:rPr>
          <w:rFonts w:ascii="Calibri" w:cs="Calibri" w:eastAsia="Calibri" w:hAnsi="Calibri"/>
          <w:sz w:val="21"/>
          <w:szCs w:val="21"/>
        </w:rPr>
        <w:t xml:space="preserve">Se verifico numericamente (balance atomico de C, H y O entre la alimentacion y la salida, para los 4 catalizadores y multiples condiciones de operacion) que el esquema conserva masa dentro de una tolerancia menor al 0.3% en el regimen de operacion tipico, y menor al ~2% en combinaciones extremas de los controles (flujos muy diluidos combinados con espacio-tiempo muy alto) donde el techo de Nz limita la resolucion por razones de tiempo de respuesta interactivo. Durante la calibracion se identifico y corrigio una inestabilidad numerica proveniente de cineticas con exponentes fraccionarios (raiz cuadrada) en la reaccion de combustion, cuya derivada diverge cuando el reactivo limitante se agota; se reemplazo por una ley de potencia de ordenes enteros (bimolecular), que tiene derivada acotada en todo el dominio.</w:t>
      </w:r>
    </w:p>
    <w:p>
      <w:pPr>
        <w:pStyle w:val="Heading1"/>
        <w:spacing w:after="160" w:before="320"/>
      </w:pPr>
      <w:r>
        <w:t xml:space="preserve">8. Limitaciones y siguientes pasos de calibracion</w:t>
      </w:r>
    </w:p>
    <w:p>
      <w:pPr>
        <w:pStyle w:val="ListParagraph"/>
        <w:numPr>
          <w:ilvl w:val="0"/>
          <w:numId w:val="1"/>
        </w:numPr>
        <w:spacing w:after="80"/>
      </w:pPr>
      <w:r>
        <w:rPr>
          <w:rFonts w:ascii="Calibri" w:cs="Calibri" w:eastAsia="Calibri" w:hAnsi="Calibri"/>
          <w:sz w:val="21"/>
          <w:szCs w:val="21"/>
        </w:rPr>
        <w:t xml:space="preserve">Los parametros cineticos son de partida (orden de magnitud representativo), no ajustados por regresion. El proximo paso natural para el articulo Q1 es una regresion no lineal de A_j, Ea_j, K0_i y DHads_i contra datos experimentales propios de conversion/rendimiento/perfil termico, usando este mismo modulo de cinetica como funcion objetivo.</w:t>
      </w:r>
    </w:p>
    <w:p>
      <w:pPr>
        <w:pStyle w:val="ListParagraph"/>
        <w:numPr>
          <w:ilvl w:val="0"/>
          <w:numId w:val="1"/>
        </w:numPr>
        <w:spacing w:after="80"/>
      </w:pPr>
      <w:r>
        <w:rPr>
          <w:rFonts w:ascii="Calibri" w:cs="Calibri" w:eastAsia="Calibri" w:hAnsi="Calibri"/>
          <w:sz w:val="21"/>
          <w:szCs w:val="21"/>
        </w:rPr>
        <w:t xml:space="preserve">El perfil radial de velocidad se asume plano; solo C_i(r,z) y T(r,z) tienen resolucion radial completa. Es la simplificacion estandar en modelos pseudo-2D de lecho empacado y puede relajarse en una version futura si se requiere el perfil de velocidad radial explicito.</w:t>
      </w:r>
    </w:p>
    <w:p>
      <w:pPr>
        <w:pStyle w:val="ListParagraph"/>
        <w:numPr>
          <w:ilvl w:val="0"/>
          <w:numId w:val="1"/>
        </w:numPr>
        <w:spacing w:after="80"/>
      </w:pPr>
      <w:r>
        <w:rPr>
          <w:rFonts w:ascii="Calibri" w:cs="Calibri" w:eastAsia="Calibri" w:hAnsi="Calibri"/>
          <w:sz w:val="21"/>
          <w:szCs w:val="21"/>
        </w:rPr>
        <w:t xml:space="preserve">Las correlaciones de transporte (Wilke, Peclet radiales asintoticos, conductividad estatica del lecho) son representativas de literatura general de lechos empacados, no especificas del par etanol/vapor sobre Ni-Co. Se recomienda contrastarlas si se dispone de datos de perdida de carga o perfiles termicos experimentales.</w:t>
      </w:r>
    </w:p>
    <w:p>
      <w:pPr>
        <w:pStyle w:val="ListParagraph"/>
        <w:numPr>
          <w:ilvl w:val="0"/>
          <w:numId w:val="1"/>
        </w:numPr>
        <w:spacing w:after="80"/>
      </w:pPr>
      <w:r>
        <w:rPr>
          <w:rFonts w:ascii="Calibri" w:cs="Calibri" w:eastAsia="Calibri" w:hAnsi="Calibri"/>
          <w:sz w:val="21"/>
          <w:szCs w:val="21"/>
        </w:rPr>
        <w:t xml:space="preserve">El factor de efectividad eta_j se trata como una constante global por catalizador (un modulo de Thiele efectivo), no como una funcion local de la concentracion/temperatura. Es una simplificacion razonable para un primer modelo interactivo; una version mas rigurosa lo calcularia localmente a partir del modulo de Thiele real en cada nodo.</w:t>
      </w:r>
    </w:p>
    <w:p>
      <w:pPr>
        <w:pStyle w:val="Heading1"/>
        <w:spacing w:after="160" w:before="320"/>
      </w:pPr>
      <w:r>
        <w:t xml:space="preserve">9. Referencias</w:t>
      </w:r>
    </w:p>
    <w:p>
      <w:pPr>
        <w:spacing w:after="100"/>
        <w:ind w:left="360" w:hanging="360"/>
      </w:pPr>
      <w:r>
        <w:rPr>
          <w:rFonts w:ascii="Calibri" w:cs="Calibri" w:eastAsia="Calibri" w:hAnsi="Calibri"/>
          <w:sz w:val="19"/>
          <w:szCs w:val="19"/>
        </w:rPr>
        <w:t xml:space="preserve">Bauer, R., Schlunder, E.U., 1978. Effective radial thermal conductivity of packed beds. Int. Chem. Eng. 18, 189-204.</w:t>
      </w:r>
    </w:p>
    <w:p>
      <w:pPr>
        <w:spacing w:after="100"/>
        <w:ind w:left="360" w:hanging="360"/>
      </w:pPr>
      <w:r>
        <w:rPr>
          <w:rFonts w:ascii="Calibri" w:cs="Calibri" w:eastAsia="Calibri" w:hAnsi="Calibri"/>
          <w:sz w:val="19"/>
          <w:szCs w:val="19"/>
        </w:rPr>
        <w:t xml:space="preserve">Chen, W.-H., Biswas, P.P., Ong, H.C., Hoang, A.T., Nguyen, T.-B., Dong, C.-D., 2023. A critical and systematic review of sustainable hydrogen production from ethanol/bioethanol. Fuel 333, 126526.</w:t>
      </w:r>
    </w:p>
    <w:p>
      <w:pPr>
        <w:spacing w:after="100"/>
        <w:ind w:left="360" w:hanging="360"/>
      </w:pPr>
      <w:r>
        <w:rPr>
          <w:rFonts w:ascii="Calibri" w:cs="Calibri" w:eastAsia="Calibri" w:hAnsi="Calibri"/>
          <w:sz w:val="19"/>
          <w:szCs w:val="19"/>
        </w:rPr>
        <w:t xml:space="preserve">da Silva, A.L., et al., 2011. Ni-Co bimetallic catalysts for ethanol steam reforming: effect of Co content on coke resistance. Applied Catalysis.</w:t>
      </w:r>
    </w:p>
    <w:p>
      <w:pPr>
        <w:spacing w:after="100"/>
        <w:ind w:left="360" w:hanging="360"/>
      </w:pPr>
      <w:r>
        <w:rPr>
          <w:rFonts w:ascii="Calibri" w:cs="Calibri" w:eastAsia="Calibri" w:hAnsi="Calibri"/>
          <w:sz w:val="19"/>
          <w:szCs w:val="19"/>
        </w:rPr>
        <w:t xml:space="preserve">Froment, G.F., Bischoff, K.B., 1990. Chemical Reactor Analysis and Design, 2nd ed. Wiley.</w:t>
      </w:r>
    </w:p>
    <w:p>
      <w:pPr>
        <w:spacing w:after="100"/>
        <w:ind w:left="360" w:hanging="360"/>
      </w:pPr>
      <w:r>
        <w:rPr>
          <w:rFonts w:ascii="Calibri" w:cs="Calibri" w:eastAsia="Calibri" w:hAnsi="Calibri"/>
          <w:sz w:val="19"/>
          <w:szCs w:val="19"/>
        </w:rPr>
        <w:t xml:space="preserve">Graschinsky, C., Giunta, P., Amadeo, N., Laborde, M., 2012. Thermodynamic analysis of hydrogen production by autothermal reforming of ethanol. Int. J. Hydrogen Energy 37, 1293-1304.</w:t>
      </w:r>
    </w:p>
    <w:p>
      <w:pPr>
        <w:spacing w:after="100"/>
        <w:ind w:left="360" w:hanging="360"/>
      </w:pPr>
      <w:r>
        <w:rPr>
          <w:rFonts w:ascii="Calibri" w:cs="Calibri" w:eastAsia="Calibri" w:hAnsi="Calibri"/>
          <w:sz w:val="19"/>
          <w:szCs w:val="19"/>
        </w:rPr>
        <w:t xml:space="preserve">Mas, V., et al., 2008. Kinetic model for ethanol steam reforming on a Ni-based catalyst. International Journal of Hydrogen Energy.</w:t>
      </w:r>
    </w:p>
    <w:p>
      <w:pPr>
        <w:spacing w:after="100"/>
        <w:ind w:left="360" w:hanging="360"/>
      </w:pPr>
      <w:r>
        <w:rPr>
          <w:rFonts w:ascii="Calibri" w:cs="Calibri" w:eastAsia="Calibri" w:hAnsi="Calibri"/>
          <w:sz w:val="19"/>
          <w:szCs w:val="19"/>
        </w:rPr>
        <w:t xml:space="preserve">Mosayebi, A., Eghbal Ahmadi, M.H., 2026. Kinetic modeling of the autothermal reforming of biogas over Ni-Cu/CeO2-ZrO2-MgO catalyst. International Journal of Hydrogen Energy 198, 152760.</w:t>
      </w:r>
    </w:p>
    <w:p>
      <w:pPr>
        <w:spacing w:after="100"/>
        <w:ind w:left="360" w:hanging="360"/>
      </w:pPr>
      <w:r>
        <w:rPr>
          <w:rFonts w:ascii="Calibri" w:cs="Calibri" w:eastAsia="Calibri" w:hAnsi="Calibri"/>
          <w:sz w:val="19"/>
          <w:szCs w:val="19"/>
        </w:rPr>
        <w:t xml:space="preserve">Schiesser, W.E., Griffiths, G.W., 2009. A Compendium of Partial Differential Equation Models: Method of Lines Analysis with Matlab. Cambridge University Press.</w:t>
      </w:r>
    </w:p>
    <w:p>
      <w:pPr>
        <w:spacing w:after="100"/>
        <w:ind w:left="360" w:hanging="360"/>
      </w:pPr>
      <w:r>
        <w:rPr>
          <w:rFonts w:ascii="Calibri" w:cs="Calibri" w:eastAsia="Calibri" w:hAnsi="Calibri"/>
          <w:sz w:val="19"/>
          <w:szCs w:val="19"/>
        </w:rPr>
        <w:t xml:space="preserve">Smith, J.M., Van Ness, H.C., Abbott, M.M., 2005. Introduction to Chemical Engineering Thermodynamics, 7th ed. McGraw-Hill (Tabla C.1, coeficientes de Cp de gas ideal).</w:t>
      </w:r>
    </w:p>
    <w:p>
      <w:pPr>
        <w:spacing w:after="100"/>
        <w:ind w:left="360" w:hanging="360"/>
      </w:pPr>
      <w:r>
        <w:rPr>
          <w:rFonts w:ascii="Calibri" w:cs="Calibri" w:eastAsia="Calibri" w:hAnsi="Calibri"/>
          <w:sz w:val="19"/>
          <w:szCs w:val="19"/>
        </w:rPr>
        <w:t xml:space="preserve">Wu, J., 2014. Simplified kinetic model for steam reforming of ethanol on a Ni/Al2O3 catalyst. Can. J. Chem. Eng.</w:t>
      </w:r>
    </w:p>
    <w:p>
      <w:pPr>
        <w:spacing w:after="100"/>
        <w:ind w:left="360" w:hanging="360"/>
      </w:pPr>
      <w:r>
        <w:rPr>
          <w:rFonts w:ascii="Calibri" w:cs="Calibri" w:eastAsia="Calibri" w:hAnsi="Calibri"/>
          <w:sz w:val="19"/>
          <w:szCs w:val="19"/>
        </w:rPr>
        <w:t xml:space="preserve">Zhu, J., Cui, X., Araya, S.S., Kaer, S.K., 2022. Comparison between 1D and 2D numerical models of a multi-tubular packed-bed reactor for methanol steam reforming. Int. J. Hydrogen Energy 47, 29928-29941.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pPr>
    <w:r>
      <w:rPr>
        <w:rFonts w:ascii="Calibri" w:cs="Calibri" w:eastAsia="Calibri" w:hAnsi="Calibri"/>
        <w:color w:val="808080"/>
        <w:sz w:val="16"/>
        <w:szCs w:val="16"/>
      </w:rPr>
      <w:t xml:space="preserve">Modelo 2D ATR de bioetanol - Formulacion matematica y parametros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1F4E79"/>
      <w:sz w:val="30"/>
      <w:szCs w:val="30"/>
    </w:rPr>
  </w:style>
  <w:style w:type="paragraph" w:styleId="Heading2">
    <w:name w:val="Heading 2"/>
    <w:basedOn w:val="Normal"/>
    <w:next w:val="Normal"/>
    <w:pPr>
      <w:spacing w:after="120" w:before="24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2026-09-20T23:17:06.980Z</dcterms:created>
  <dcterms:modified xsi:type="dcterms:W3CDTF">2026-09-20T23:17:06.980Z</dcterms:modified>
</cp:coreProperties>
</file>

<file path=docProps/custom.xml><?xml version="1.0" encoding="utf-8"?>
<Properties xmlns="http://schemas.openxmlformats.org/officeDocument/2006/custom-properties" xmlns:vt="http://schemas.openxmlformats.org/officeDocument/2006/docPropsVTypes"/>
</file>