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3B" w:rsidRPr="00D55970" w:rsidRDefault="00BF263B" w:rsidP="00BF263B">
      <w:pPr>
        <w:pStyle w:val="1"/>
        <w:numPr>
          <w:ilvl w:val="0"/>
          <w:numId w:val="1"/>
        </w:numPr>
        <w:rPr>
          <w:color w:val="auto"/>
        </w:rPr>
      </w:pPr>
      <w:bookmarkStart w:id="0" w:name="_Toc510552695"/>
      <w:bookmarkStart w:id="1" w:name="_Toc4689147"/>
      <w:bookmarkStart w:id="2" w:name="_Toc11160925"/>
      <w:r w:rsidRPr="00D55970">
        <w:rPr>
          <w:color w:val="auto"/>
        </w:rPr>
        <w:t>Оценка эффективности проекта автоматизации процесса ведения документооборота в управлении архитектуры и градостроительства</w:t>
      </w:r>
      <w:bookmarkEnd w:id="0"/>
      <w:bookmarkEnd w:id="1"/>
      <w:bookmarkEnd w:id="2"/>
    </w:p>
    <w:p w:rsidR="00BF263B" w:rsidRPr="0074603C" w:rsidRDefault="00BF263B" w:rsidP="00BF263B">
      <w:pPr>
        <w:pStyle w:val="2"/>
        <w:spacing w:after="240"/>
        <w:rPr>
          <w:color w:val="auto"/>
        </w:rPr>
      </w:pPr>
      <w:bookmarkStart w:id="3" w:name="_Toc510552696"/>
      <w:bookmarkStart w:id="4" w:name="_Toc4689148"/>
      <w:bookmarkStart w:id="5" w:name="_Toc11160926"/>
      <w:r w:rsidRPr="00D55970">
        <w:rPr>
          <w:color w:val="auto"/>
        </w:rPr>
        <w:t>3.1 Оценка размерности и трудоемкости разработки информационной системы</w:t>
      </w:r>
      <w:bookmarkEnd w:id="3"/>
      <w:bookmarkEnd w:id="4"/>
      <w:bookmarkEnd w:id="5"/>
    </w:p>
    <w:p w:rsidR="00BF263B" w:rsidRPr="00450922" w:rsidRDefault="00BF263B" w:rsidP="00BF263B">
      <w:pPr>
        <w:spacing w:line="360" w:lineRule="auto"/>
        <w:ind w:firstLine="709"/>
        <w:jc w:val="both"/>
        <w:rPr>
          <w:sz w:val="28"/>
          <w:szCs w:val="28"/>
        </w:rPr>
      </w:pPr>
      <w:r w:rsidRPr="00450922">
        <w:rPr>
          <w:sz w:val="28"/>
          <w:szCs w:val="28"/>
        </w:rPr>
        <w:t>Оценка размерности и трудоемкости проекта состоит в определении сложности данных и количества функциональных точек.</w:t>
      </w:r>
    </w:p>
    <w:p w:rsidR="00BF263B" w:rsidRPr="00450922" w:rsidRDefault="00BF263B" w:rsidP="00BF263B">
      <w:pPr>
        <w:spacing w:line="360" w:lineRule="auto"/>
        <w:ind w:firstLine="709"/>
        <w:jc w:val="both"/>
        <w:rPr>
          <w:sz w:val="28"/>
        </w:rPr>
      </w:pPr>
      <w:r w:rsidRPr="00450922">
        <w:rPr>
          <w:sz w:val="28"/>
        </w:rPr>
        <w:t>Рассчитаем сложность данных методом функциональных точек.</w:t>
      </w:r>
    </w:p>
    <w:p w:rsidR="00BF263B" w:rsidRDefault="00BF263B" w:rsidP="00BF263B">
      <w:pPr>
        <w:spacing w:line="360" w:lineRule="auto"/>
        <w:ind w:firstLine="709"/>
        <w:jc w:val="both"/>
        <w:rPr>
          <w:sz w:val="28"/>
        </w:rPr>
      </w:pPr>
      <w:r w:rsidRPr="00450922">
        <w:rPr>
          <w:sz w:val="28"/>
        </w:rPr>
        <w:t xml:space="preserve">Метод </w:t>
      </w:r>
      <w:r>
        <w:rPr>
          <w:sz w:val="28"/>
        </w:rPr>
        <w:t>функциональных точек</w:t>
      </w:r>
      <w:r w:rsidRPr="00450922">
        <w:rPr>
          <w:sz w:val="28"/>
        </w:rPr>
        <w:t xml:space="preserve"> предназначен для </w:t>
      </w:r>
      <w:r w:rsidRPr="009F0C27">
        <w:rPr>
          <w:sz w:val="28"/>
        </w:rPr>
        <w:t>определения размерности и трудоемкости информационных систем</w:t>
      </w:r>
      <w:r>
        <w:rPr>
          <w:sz w:val="28"/>
        </w:rPr>
        <w:t>. Он является стандартным методом измерения размера программного продукта с точки зрения пользователя системы.</w:t>
      </w:r>
    </w:p>
    <w:p w:rsidR="00BF263B" w:rsidRDefault="00BF263B" w:rsidP="00BF263B">
      <w:pPr>
        <w:spacing w:line="360" w:lineRule="auto"/>
        <w:ind w:firstLine="709"/>
        <w:jc w:val="both"/>
        <w:rPr>
          <w:sz w:val="28"/>
        </w:rPr>
      </w:pPr>
      <w:r w:rsidRPr="009F0C27">
        <w:rPr>
          <w:sz w:val="28"/>
        </w:rPr>
        <w:t>Согласно данной методике трудоемкость вычисляется на основе функциональности разрабатываемой системы, которая, в свою очередь, определяется на основе выявления функциональных типов — логических групп взаимосвязанных данных, используемых и поддерживаемых приложением, а та</w:t>
      </w:r>
      <w:r>
        <w:rPr>
          <w:sz w:val="28"/>
        </w:rPr>
        <w:t>кже элементарных процессов, свя</w:t>
      </w:r>
      <w:r w:rsidRPr="009F0C27">
        <w:rPr>
          <w:sz w:val="28"/>
        </w:rPr>
        <w:t>занных с вводом и выводом информации.</w:t>
      </w:r>
    </w:p>
    <w:p w:rsidR="00BF263B" w:rsidRDefault="00BF263B" w:rsidP="00BF263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анализе методом функциональных точек надо выполнить следующее:</w:t>
      </w:r>
    </w:p>
    <w:p w:rsidR="00BF263B" w:rsidRDefault="00BF263B" w:rsidP="00BF263B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Определить тип оценки;</w:t>
      </w:r>
    </w:p>
    <w:p w:rsidR="00BF263B" w:rsidRDefault="00BF263B" w:rsidP="00BF263B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Определить область оценки и границ продукта;</w:t>
      </w:r>
    </w:p>
    <w:p w:rsidR="00BF263B" w:rsidRDefault="00BF263B" w:rsidP="00BF263B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Подсчитать количество функциональных точек, связанных с данными;</w:t>
      </w:r>
    </w:p>
    <w:p w:rsidR="00BF263B" w:rsidRDefault="00BF263B" w:rsidP="00BF263B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Подсчитать количество функциональных точек, связанных с транзакциями;</w:t>
      </w:r>
    </w:p>
    <w:p w:rsidR="00BF263B" w:rsidRDefault="00BF263B" w:rsidP="00BF263B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Определить суммарное количество не выровненных функциональных точек (</w:t>
      </w:r>
      <w:r>
        <w:rPr>
          <w:sz w:val="28"/>
          <w:lang w:val="en-US"/>
        </w:rPr>
        <w:t>UFP</w:t>
      </w:r>
      <w:r w:rsidRPr="00F010E4">
        <w:rPr>
          <w:sz w:val="28"/>
        </w:rPr>
        <w:t>)</w:t>
      </w:r>
      <w:r>
        <w:rPr>
          <w:sz w:val="28"/>
        </w:rPr>
        <w:t>;</w:t>
      </w:r>
    </w:p>
    <w:p w:rsidR="00BF263B" w:rsidRDefault="00BF263B" w:rsidP="00BF263B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Определить значения фактора выравнивания (</w:t>
      </w:r>
      <w:r>
        <w:rPr>
          <w:sz w:val="28"/>
          <w:lang w:val="en-US"/>
        </w:rPr>
        <w:t>FAV</w:t>
      </w:r>
      <w:r>
        <w:rPr>
          <w:sz w:val="28"/>
        </w:rPr>
        <w:t>);</w:t>
      </w:r>
    </w:p>
    <w:p w:rsidR="00BF263B" w:rsidRDefault="00BF263B" w:rsidP="00BF263B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Рассчитать количество выровненных функциональных точек (</w:t>
      </w:r>
      <w:r>
        <w:rPr>
          <w:sz w:val="28"/>
          <w:lang w:val="en-US"/>
        </w:rPr>
        <w:t>AFP</w:t>
      </w:r>
      <w:r>
        <w:rPr>
          <w:sz w:val="28"/>
        </w:rPr>
        <w:t>).</w:t>
      </w:r>
    </w:p>
    <w:p w:rsidR="00BF263B" w:rsidRDefault="00BF263B" w:rsidP="00BF263B">
      <w:pPr>
        <w:pStyle w:val="12"/>
      </w:pPr>
      <w:r>
        <w:t>Необходимо сначала определить сложность данных по следующим показателям:</w:t>
      </w:r>
    </w:p>
    <w:p w:rsidR="00BF263B" w:rsidRPr="00F010E4" w:rsidRDefault="00BF263B" w:rsidP="00BF263B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010E4">
        <w:rPr>
          <w:sz w:val="28"/>
          <w:szCs w:val="28"/>
        </w:rPr>
        <w:lastRenderedPageBreak/>
        <w:t>DET (</w:t>
      </w:r>
      <w:proofErr w:type="spellStart"/>
      <w:r w:rsidRPr="00F010E4">
        <w:rPr>
          <w:sz w:val="28"/>
          <w:szCs w:val="28"/>
        </w:rPr>
        <w:t>data</w:t>
      </w:r>
      <w:proofErr w:type="spellEnd"/>
      <w:r w:rsidRPr="00F010E4">
        <w:rPr>
          <w:sz w:val="28"/>
          <w:szCs w:val="28"/>
        </w:rPr>
        <w:t xml:space="preserve"> </w:t>
      </w:r>
      <w:proofErr w:type="spellStart"/>
      <w:r w:rsidRPr="00F010E4">
        <w:rPr>
          <w:sz w:val="28"/>
          <w:szCs w:val="28"/>
        </w:rPr>
        <w:t>element</w:t>
      </w:r>
      <w:proofErr w:type="spellEnd"/>
      <w:r w:rsidRPr="00F010E4">
        <w:rPr>
          <w:sz w:val="28"/>
          <w:szCs w:val="28"/>
        </w:rPr>
        <w:t xml:space="preserve"> </w:t>
      </w:r>
      <w:proofErr w:type="spellStart"/>
      <w:r w:rsidRPr="00F010E4">
        <w:rPr>
          <w:sz w:val="28"/>
          <w:szCs w:val="28"/>
        </w:rPr>
        <w:t>type</w:t>
      </w:r>
      <w:proofErr w:type="spellEnd"/>
      <w:r w:rsidRPr="00F010E4">
        <w:rPr>
          <w:sz w:val="28"/>
          <w:szCs w:val="28"/>
        </w:rPr>
        <w:t>) — неповторяемое уникальное поле данных</w:t>
      </w:r>
      <w:r>
        <w:rPr>
          <w:sz w:val="28"/>
          <w:szCs w:val="28"/>
        </w:rPr>
        <w:t>;</w:t>
      </w:r>
    </w:p>
    <w:p w:rsidR="00BF263B" w:rsidRDefault="00BF263B" w:rsidP="00BF263B">
      <w:pPr>
        <w:pStyle w:val="ListParagraph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F010E4">
        <w:rPr>
          <w:sz w:val="28"/>
          <w:szCs w:val="28"/>
        </w:rPr>
        <w:t>RET (</w:t>
      </w:r>
      <w:proofErr w:type="spellStart"/>
      <w:r w:rsidRPr="00F010E4">
        <w:rPr>
          <w:sz w:val="28"/>
          <w:szCs w:val="28"/>
        </w:rPr>
        <w:t>record</w:t>
      </w:r>
      <w:proofErr w:type="spellEnd"/>
      <w:r w:rsidRPr="00F010E4">
        <w:rPr>
          <w:sz w:val="28"/>
          <w:szCs w:val="28"/>
        </w:rPr>
        <w:t xml:space="preserve"> </w:t>
      </w:r>
      <w:proofErr w:type="spellStart"/>
      <w:r w:rsidRPr="00F010E4">
        <w:rPr>
          <w:sz w:val="28"/>
          <w:szCs w:val="28"/>
        </w:rPr>
        <w:t>element</w:t>
      </w:r>
      <w:proofErr w:type="spellEnd"/>
      <w:r w:rsidRPr="00F010E4">
        <w:rPr>
          <w:sz w:val="28"/>
          <w:szCs w:val="28"/>
        </w:rPr>
        <w:t xml:space="preserve"> </w:t>
      </w:r>
      <w:proofErr w:type="spellStart"/>
      <w:r w:rsidRPr="00F010E4">
        <w:rPr>
          <w:sz w:val="28"/>
          <w:szCs w:val="28"/>
        </w:rPr>
        <w:t>type</w:t>
      </w:r>
      <w:proofErr w:type="spellEnd"/>
      <w:r w:rsidRPr="00F010E4">
        <w:rPr>
          <w:sz w:val="28"/>
          <w:szCs w:val="28"/>
        </w:rPr>
        <w:t>) — логическая группа данных, например, адрес, паспорт, телефонный номер.</w:t>
      </w:r>
    </w:p>
    <w:p w:rsidR="00BF263B" w:rsidRDefault="00BF263B" w:rsidP="00BF263B">
      <w:pPr>
        <w:pStyle w:val="12"/>
      </w:pPr>
      <w:r>
        <w:t>Оценка количества не выровненных функциональных точек зависит от сложности данных, которая определяется на основании матрицы сложности (Таблица 3.1)</w:t>
      </w:r>
    </w:p>
    <w:p w:rsidR="00BF263B" w:rsidRPr="00450922" w:rsidRDefault="00BF263B" w:rsidP="00BF26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0922">
        <w:rPr>
          <w:sz w:val="28"/>
          <w:szCs w:val="28"/>
        </w:rPr>
        <w:t>Таблица</w:t>
      </w:r>
      <w:r w:rsidRPr="00450922">
        <w:rPr>
          <w:sz w:val="28"/>
          <w:szCs w:val="28"/>
          <w:lang w:val="en-US"/>
        </w:rPr>
        <w:t xml:space="preserve"> 3.</w:t>
      </w:r>
      <w:r w:rsidRPr="00450922">
        <w:rPr>
          <w:sz w:val="28"/>
          <w:szCs w:val="28"/>
        </w:rPr>
        <w:t>1</w:t>
      </w:r>
      <w:r w:rsidRPr="00450922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Матрица с</w:t>
      </w:r>
      <w:r w:rsidRPr="00450922">
        <w:rPr>
          <w:sz w:val="28"/>
          <w:szCs w:val="28"/>
        </w:rPr>
        <w:t>ложност</w:t>
      </w:r>
      <w:r>
        <w:rPr>
          <w:sz w:val="28"/>
          <w:szCs w:val="28"/>
        </w:rPr>
        <w:t>и</w:t>
      </w:r>
      <w:r w:rsidRPr="00450922">
        <w:rPr>
          <w:sz w:val="28"/>
          <w:szCs w:val="28"/>
          <w:lang w:val="en-US"/>
        </w:rPr>
        <w:t xml:space="preserve"> </w:t>
      </w:r>
      <w:r w:rsidRPr="00450922">
        <w:rPr>
          <w:sz w:val="28"/>
          <w:szCs w:val="28"/>
        </w:rPr>
        <w:t>данных</w:t>
      </w:r>
    </w:p>
    <w:tbl>
      <w:tblPr>
        <w:tblStyle w:val="15"/>
        <w:tblW w:w="5000" w:type="pct"/>
        <w:tblLook w:val="04A0" w:firstRow="1" w:lastRow="0" w:firstColumn="1" w:lastColumn="0" w:noHBand="0" w:noVBand="1"/>
      </w:tblPr>
      <w:tblGrid>
        <w:gridCol w:w="2324"/>
        <w:gridCol w:w="2341"/>
        <w:gridCol w:w="2340"/>
        <w:gridCol w:w="2340"/>
      </w:tblGrid>
      <w:tr w:rsidR="00BF263B" w:rsidRPr="006F29AB" w:rsidTr="00420A13">
        <w:trPr>
          <w:trHeight w:val="422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1-9 DET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20-50 DET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50+ DET</w:t>
            </w:r>
          </w:p>
        </w:tc>
      </w:tr>
      <w:tr w:rsidR="00BF263B" w:rsidRPr="006F29AB" w:rsidTr="00420A13">
        <w:trPr>
          <w:trHeight w:val="405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1 RET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Average</w:t>
            </w:r>
          </w:p>
        </w:tc>
      </w:tr>
      <w:tr w:rsidR="00BF263B" w:rsidRPr="006F29AB" w:rsidTr="00420A13">
        <w:trPr>
          <w:trHeight w:val="405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2-5 RET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High</w:t>
            </w:r>
          </w:p>
        </w:tc>
      </w:tr>
      <w:tr w:rsidR="00BF263B" w:rsidRPr="006F29AB" w:rsidTr="00420A13">
        <w:trPr>
          <w:trHeight w:val="422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6+RET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29AB">
              <w:rPr>
                <w:sz w:val="28"/>
                <w:szCs w:val="28"/>
                <w:lang w:val="en-US"/>
              </w:rPr>
              <w:t>High</w:t>
            </w:r>
          </w:p>
        </w:tc>
      </w:tr>
    </w:tbl>
    <w:p w:rsidR="00BF263B" w:rsidRDefault="00BF263B" w:rsidP="00BF263B">
      <w:pPr>
        <w:spacing w:before="240" w:line="360" w:lineRule="auto"/>
        <w:ind w:firstLine="709"/>
        <w:jc w:val="both"/>
        <w:rPr>
          <w:sz w:val="28"/>
        </w:rPr>
      </w:pPr>
      <w:r>
        <w:rPr>
          <w:sz w:val="28"/>
        </w:rPr>
        <w:t>Оценка данных в не выровненных функциональных точках (</w:t>
      </w:r>
      <w:r>
        <w:rPr>
          <w:sz w:val="28"/>
          <w:lang w:val="en-US"/>
        </w:rPr>
        <w:t>UFP</w:t>
      </w:r>
      <w:r w:rsidRPr="00F010E4">
        <w:rPr>
          <w:sz w:val="28"/>
        </w:rPr>
        <w:t>)</w:t>
      </w:r>
      <w:r>
        <w:rPr>
          <w:sz w:val="28"/>
        </w:rPr>
        <w:t xml:space="preserve"> подсчитывается по-разному для внутренних логических файлов (</w:t>
      </w:r>
      <w:r>
        <w:rPr>
          <w:sz w:val="28"/>
          <w:lang w:val="en-US"/>
        </w:rPr>
        <w:t>ILFs</w:t>
      </w:r>
      <w:r w:rsidRPr="00935CEE">
        <w:rPr>
          <w:sz w:val="28"/>
        </w:rPr>
        <w:t>)</w:t>
      </w:r>
      <w:r>
        <w:rPr>
          <w:sz w:val="28"/>
        </w:rPr>
        <w:t xml:space="preserve"> и для внешних интерфейсных файлов (</w:t>
      </w:r>
      <w:r>
        <w:rPr>
          <w:sz w:val="28"/>
          <w:lang w:val="en-US"/>
        </w:rPr>
        <w:t>EIFs</w:t>
      </w:r>
      <w:r w:rsidRPr="00935CEE">
        <w:rPr>
          <w:sz w:val="28"/>
        </w:rPr>
        <w:t>) (</w:t>
      </w:r>
      <w:r>
        <w:rPr>
          <w:sz w:val="28"/>
        </w:rPr>
        <w:t>Таблица 3.2) в зависимости от их сложности</w:t>
      </w:r>
    </w:p>
    <w:p w:rsidR="00BF263B" w:rsidRPr="00935CEE" w:rsidRDefault="00BF263B" w:rsidP="00BF263B">
      <w:pPr>
        <w:spacing w:line="360" w:lineRule="auto"/>
        <w:ind w:firstLine="709"/>
        <w:jc w:val="both"/>
        <w:rPr>
          <w:sz w:val="28"/>
          <w:szCs w:val="28"/>
        </w:rPr>
      </w:pPr>
      <w:r w:rsidRPr="00450922">
        <w:rPr>
          <w:sz w:val="28"/>
          <w:szCs w:val="28"/>
        </w:rPr>
        <w:t>Таблица</w:t>
      </w:r>
      <w:r w:rsidRPr="00935CEE">
        <w:rPr>
          <w:sz w:val="28"/>
          <w:szCs w:val="28"/>
        </w:rPr>
        <w:t xml:space="preserve"> 3.</w:t>
      </w:r>
      <w:r>
        <w:rPr>
          <w:sz w:val="28"/>
          <w:szCs w:val="28"/>
        </w:rPr>
        <w:t>2</w:t>
      </w:r>
      <w:r w:rsidRPr="00935CEE">
        <w:rPr>
          <w:sz w:val="28"/>
          <w:szCs w:val="28"/>
        </w:rPr>
        <w:t xml:space="preserve"> – </w:t>
      </w:r>
      <w:r>
        <w:rPr>
          <w:sz w:val="28"/>
          <w:szCs w:val="28"/>
        </w:rPr>
        <w:t>Оценка данных в не выровненных функциональных точках (</w:t>
      </w:r>
      <w:r>
        <w:rPr>
          <w:sz w:val="28"/>
          <w:szCs w:val="28"/>
          <w:lang w:val="en-US"/>
        </w:rPr>
        <w:t>UFP</w:t>
      </w:r>
      <w:r>
        <w:rPr>
          <w:sz w:val="28"/>
          <w:szCs w:val="28"/>
        </w:rPr>
        <w:t xml:space="preserve">) для внутренних логических файлов </w:t>
      </w:r>
      <w:r w:rsidRPr="00935C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ILFs</w:t>
      </w:r>
      <w:r w:rsidRPr="00935CEE">
        <w:rPr>
          <w:sz w:val="28"/>
          <w:szCs w:val="28"/>
        </w:rPr>
        <w:t xml:space="preserve">) </w:t>
      </w:r>
      <w:r>
        <w:rPr>
          <w:sz w:val="28"/>
          <w:szCs w:val="28"/>
        </w:rPr>
        <w:t>и для внешних интерфейсных файлов (</w:t>
      </w:r>
      <w:r>
        <w:rPr>
          <w:sz w:val="28"/>
          <w:szCs w:val="28"/>
          <w:lang w:val="en-US"/>
        </w:rPr>
        <w:t>EIFs</w:t>
      </w:r>
      <w:r w:rsidRPr="00935CEE">
        <w:rPr>
          <w:sz w:val="28"/>
          <w:szCs w:val="28"/>
        </w:rPr>
        <w:t>)</w:t>
      </w:r>
    </w:p>
    <w:tbl>
      <w:tblPr>
        <w:tblStyle w:val="15"/>
        <w:tblW w:w="5000" w:type="pct"/>
        <w:tblLook w:val="04A0" w:firstRow="1" w:lastRow="0" w:firstColumn="1" w:lastColumn="0" w:noHBand="0" w:noVBand="1"/>
      </w:tblPr>
      <w:tblGrid>
        <w:gridCol w:w="3099"/>
        <w:gridCol w:w="3123"/>
        <w:gridCol w:w="3123"/>
      </w:tblGrid>
      <w:tr w:rsidR="00BF263B" w:rsidRPr="006F29AB" w:rsidTr="00420A13">
        <w:trPr>
          <w:trHeight w:val="314"/>
        </w:trPr>
        <w:tc>
          <w:tcPr>
            <w:tcW w:w="1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 xml:space="preserve">Сложность данных 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 xml:space="preserve">Количество </w:t>
            </w:r>
            <w:r w:rsidRPr="006F29AB">
              <w:rPr>
                <w:sz w:val="28"/>
                <w:szCs w:val="28"/>
                <w:lang w:val="en-US"/>
              </w:rPr>
              <w:t>UFP (ILF)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 xml:space="preserve">Количество </w:t>
            </w:r>
            <w:r w:rsidRPr="006F29AB">
              <w:rPr>
                <w:sz w:val="28"/>
                <w:szCs w:val="28"/>
                <w:lang w:val="en-US"/>
              </w:rPr>
              <w:t xml:space="preserve">UFP </w:t>
            </w:r>
            <w:r w:rsidRPr="006F29AB">
              <w:rPr>
                <w:sz w:val="28"/>
                <w:szCs w:val="28"/>
              </w:rPr>
              <w:t>(</w:t>
            </w:r>
            <w:r w:rsidRPr="006F29AB">
              <w:rPr>
                <w:sz w:val="28"/>
                <w:szCs w:val="28"/>
                <w:lang w:val="en-US"/>
              </w:rPr>
              <w:t>EIF</w:t>
            </w:r>
            <w:r w:rsidRPr="006F29AB">
              <w:rPr>
                <w:sz w:val="28"/>
                <w:szCs w:val="28"/>
              </w:rPr>
              <w:t>)</w:t>
            </w:r>
          </w:p>
        </w:tc>
      </w:tr>
      <w:tr w:rsidR="00BF263B" w:rsidRPr="006F29AB" w:rsidTr="00420A13">
        <w:trPr>
          <w:trHeight w:val="301"/>
        </w:trPr>
        <w:tc>
          <w:tcPr>
            <w:tcW w:w="1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>7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>5</w:t>
            </w:r>
          </w:p>
        </w:tc>
      </w:tr>
      <w:tr w:rsidR="00BF263B" w:rsidRPr="006F29AB" w:rsidTr="00420A13">
        <w:trPr>
          <w:trHeight w:val="301"/>
        </w:trPr>
        <w:tc>
          <w:tcPr>
            <w:tcW w:w="1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>10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>7</w:t>
            </w:r>
          </w:p>
        </w:tc>
      </w:tr>
      <w:tr w:rsidR="00BF263B" w:rsidRPr="006F29AB" w:rsidTr="00420A13">
        <w:trPr>
          <w:trHeight w:val="314"/>
        </w:trPr>
        <w:tc>
          <w:tcPr>
            <w:tcW w:w="1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</w:rPr>
              <w:t>15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63B" w:rsidRPr="006F29AB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29AB">
              <w:rPr>
                <w:sz w:val="28"/>
                <w:szCs w:val="28"/>
                <w:lang w:val="en-US"/>
              </w:rPr>
              <w:t>10</w:t>
            </w:r>
          </w:p>
        </w:tc>
      </w:tr>
    </w:tbl>
    <w:p w:rsidR="00BF263B" w:rsidRDefault="00BF263B" w:rsidP="00BF263B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Проведем оценку данных в не выровненных функциональных точках (</w:t>
      </w:r>
      <w:r>
        <w:rPr>
          <w:sz w:val="28"/>
          <w:szCs w:val="28"/>
          <w:lang w:val="en-US"/>
        </w:rPr>
        <w:t>UFP</w:t>
      </w:r>
      <w:r>
        <w:rPr>
          <w:sz w:val="28"/>
          <w:szCs w:val="28"/>
        </w:rPr>
        <w:t xml:space="preserve">) для внутренних логических файлов </w:t>
      </w:r>
      <w:r w:rsidRPr="00935C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ILFs</w:t>
      </w:r>
      <w:r w:rsidRPr="00935CEE">
        <w:rPr>
          <w:sz w:val="28"/>
          <w:szCs w:val="28"/>
        </w:rPr>
        <w:t>)</w:t>
      </w:r>
      <w:r>
        <w:rPr>
          <w:sz w:val="28"/>
          <w:szCs w:val="28"/>
        </w:rPr>
        <w:t>. Внешних интерфейсных файлов (</w:t>
      </w:r>
      <w:r>
        <w:rPr>
          <w:sz w:val="28"/>
          <w:szCs w:val="28"/>
          <w:lang w:val="en-US"/>
        </w:rPr>
        <w:t>EIFs</w:t>
      </w:r>
      <w:r w:rsidRPr="00935CEE">
        <w:rPr>
          <w:sz w:val="28"/>
          <w:szCs w:val="28"/>
        </w:rPr>
        <w:t>)</w:t>
      </w:r>
      <w:r>
        <w:rPr>
          <w:sz w:val="28"/>
          <w:szCs w:val="28"/>
        </w:rPr>
        <w:t xml:space="preserve"> в системе нет. Расчет функциональных точек представлен в таблице 3.3.</w:t>
      </w:r>
    </w:p>
    <w:p w:rsidR="00BF263B" w:rsidRPr="00935CEE" w:rsidRDefault="00BF263B" w:rsidP="00BF26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3.3 – Оценка сложности данных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9"/>
        <w:gridCol w:w="975"/>
        <w:gridCol w:w="993"/>
        <w:gridCol w:w="1559"/>
        <w:gridCol w:w="1417"/>
        <w:gridCol w:w="1412"/>
      </w:tblGrid>
      <w:tr w:rsidR="00BF263B" w:rsidTr="00420A13">
        <w:trPr>
          <w:trHeight w:val="634"/>
        </w:trPr>
        <w:tc>
          <w:tcPr>
            <w:tcW w:w="2989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данных</w:t>
            </w:r>
          </w:p>
        </w:tc>
        <w:tc>
          <w:tcPr>
            <w:tcW w:w="975" w:type="dxa"/>
          </w:tcPr>
          <w:p w:rsidR="00BF263B" w:rsidRPr="00D70DBF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</w:p>
        </w:tc>
        <w:tc>
          <w:tcPr>
            <w:tcW w:w="993" w:type="dxa"/>
          </w:tcPr>
          <w:p w:rsidR="00BF263B" w:rsidRPr="00D70DBF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559" w:type="dxa"/>
          </w:tcPr>
          <w:p w:rsidR="00BF263B" w:rsidRPr="00D70DBF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</w:t>
            </w:r>
          </w:p>
        </w:tc>
        <w:tc>
          <w:tcPr>
            <w:tcW w:w="1417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UFP</w:t>
            </w:r>
          </w:p>
          <w:p w:rsidR="00BF263B" w:rsidRPr="008B3B75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ILF)</w:t>
            </w:r>
          </w:p>
        </w:tc>
        <w:tc>
          <w:tcPr>
            <w:tcW w:w="1412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UFP</w:t>
            </w:r>
          </w:p>
          <w:p w:rsidR="00BF263B" w:rsidRPr="008B3B75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ELF)</w:t>
            </w:r>
          </w:p>
        </w:tc>
      </w:tr>
      <w:tr w:rsidR="00BF263B" w:rsidTr="00420A13">
        <w:trPr>
          <w:trHeight w:val="557"/>
        </w:trPr>
        <w:tc>
          <w:tcPr>
            <w:tcW w:w="2989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975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417" w:type="dxa"/>
          </w:tcPr>
          <w:p w:rsidR="00BF263B" w:rsidRPr="00FF147A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2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BF263B" w:rsidTr="00420A13">
        <w:tc>
          <w:tcPr>
            <w:tcW w:w="2989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Представитель</w:t>
            </w:r>
          </w:p>
        </w:tc>
        <w:tc>
          <w:tcPr>
            <w:tcW w:w="975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BF263B" w:rsidRPr="00FC4C01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B73CC">
              <w:rPr>
                <w:sz w:val="28"/>
                <w:lang w:val="en-US"/>
              </w:rPr>
              <w:t>Average</w:t>
            </w:r>
          </w:p>
        </w:tc>
        <w:tc>
          <w:tcPr>
            <w:tcW w:w="1417" w:type="dxa"/>
          </w:tcPr>
          <w:p w:rsidR="00BF263B" w:rsidRPr="005870B0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2" w:type="dxa"/>
          </w:tcPr>
          <w:p w:rsidR="00BF263B" w:rsidRPr="008B3B75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BF263B" w:rsidTr="00420A13">
        <w:tc>
          <w:tcPr>
            <w:tcW w:w="2989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Учащийся</w:t>
            </w:r>
          </w:p>
        </w:tc>
        <w:tc>
          <w:tcPr>
            <w:tcW w:w="975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3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B73CC">
              <w:rPr>
                <w:sz w:val="28"/>
                <w:lang w:val="en-US"/>
              </w:rPr>
              <w:t>High</w:t>
            </w:r>
          </w:p>
        </w:tc>
        <w:tc>
          <w:tcPr>
            <w:tcW w:w="1417" w:type="dxa"/>
          </w:tcPr>
          <w:p w:rsidR="00BF263B" w:rsidRPr="00FB73CC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12" w:type="dxa"/>
          </w:tcPr>
          <w:p w:rsidR="00BF263B" w:rsidRPr="008B3B75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BF263B" w:rsidTr="00420A13">
        <w:tc>
          <w:tcPr>
            <w:tcW w:w="2989" w:type="dxa"/>
          </w:tcPr>
          <w:p w:rsidR="00BF263B" w:rsidRPr="00FF147A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975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BF263B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BF263B" w:rsidRPr="00FC4C01" w:rsidRDefault="00BF263B" w:rsidP="00420A13">
            <w:pPr>
              <w:spacing w:line="360" w:lineRule="auto"/>
              <w:jc w:val="both"/>
              <w:rPr>
                <w:sz w:val="28"/>
                <w:lang w:val="en-US"/>
              </w:rPr>
            </w:pPr>
          </w:p>
        </w:tc>
        <w:tc>
          <w:tcPr>
            <w:tcW w:w="1417" w:type="dxa"/>
          </w:tcPr>
          <w:p w:rsidR="00BF263B" w:rsidRPr="00FB73CC" w:rsidRDefault="00BF263B" w:rsidP="00420A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412" w:type="dxa"/>
          </w:tcPr>
          <w:p w:rsidR="00BF263B" w:rsidRPr="008B3B75" w:rsidRDefault="00BF263B" w:rsidP="00420A1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</w:tbl>
    <w:p w:rsidR="00BF263B" w:rsidRDefault="00BF263B" w:rsidP="00BF263B">
      <w:pPr>
        <w:spacing w:before="240" w:line="38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получаем, что сложность данных оценивается в </w:t>
      </w:r>
      <w:r w:rsidRPr="009F3E09">
        <w:rPr>
          <w:sz w:val="28"/>
          <w:szCs w:val="28"/>
        </w:rPr>
        <w:t>54</w:t>
      </w:r>
      <w:r>
        <w:rPr>
          <w:sz w:val="28"/>
          <w:szCs w:val="28"/>
        </w:rPr>
        <w:t xml:space="preserve"> не выровненные функциональные точки.</w:t>
      </w:r>
    </w:p>
    <w:p w:rsidR="00BF263B" w:rsidRDefault="00BF263B" w:rsidP="00BF263B">
      <w:pPr>
        <w:spacing w:line="38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Подсчет функциональных точек, связанных с транзакциями – это четвертый шаг анализа по методу функциональных точек.</w:t>
      </w:r>
    </w:p>
    <w:p w:rsidR="00BF263B" w:rsidRDefault="00BF263B" w:rsidP="00BF263B">
      <w:pPr>
        <w:spacing w:line="38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Транзакция – это элементарный неделимый замкнутый процесс, представляющий значение для пользователя и переводящий продукт из одного консистентного состояния в другое. То есть она представляет собой операцию, которая имеет смысл и может быть совершена только полностью. Она может быть выполнена либо целиком и успешно, либо не выполнена вообще.</w:t>
      </w:r>
    </w:p>
    <w:p w:rsidR="00BF263B" w:rsidRPr="005C30D0" w:rsidRDefault="00BF263B" w:rsidP="00BF263B">
      <w:pPr>
        <w:spacing w:line="38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методе различают следующие типы транзакций (Таблица 3.4):</w:t>
      </w:r>
    </w:p>
    <w:p w:rsidR="00BF263B" w:rsidRDefault="00BF263B" w:rsidP="00BF263B">
      <w:pPr>
        <w:pStyle w:val="10"/>
        <w:spacing w:line="384" w:lineRule="auto"/>
        <w:ind w:left="0" w:firstLine="0"/>
      </w:pPr>
      <w:r>
        <w:t>EI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inputs</w:t>
      </w:r>
      <w:proofErr w:type="spellEnd"/>
      <w: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 w:rsidR="00BF263B" w:rsidRDefault="00BF263B" w:rsidP="00BF263B">
      <w:pPr>
        <w:pStyle w:val="10"/>
        <w:spacing w:line="384" w:lineRule="auto"/>
        <w:ind w:left="0" w:firstLine="0"/>
      </w:pPr>
      <w:r>
        <w:t>EO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outputs</w:t>
      </w:r>
      <w:proofErr w:type="spellEnd"/>
      <w:r>
        <w:t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ILF.</w:t>
      </w:r>
    </w:p>
    <w:p w:rsidR="00BF263B" w:rsidRDefault="00BF263B" w:rsidP="00BF263B">
      <w:pPr>
        <w:pStyle w:val="10"/>
        <w:spacing w:line="384" w:lineRule="auto"/>
        <w:ind w:left="0" w:firstLine="0"/>
      </w:pPr>
      <w:r>
        <w:t>EQ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>) — внешние запросы, элементарная операция, которая в ответ на внешний запрос извлекает данные или управляющую информацию из ILF или EIF.</w:t>
      </w:r>
    </w:p>
    <w:p w:rsidR="00BF263B" w:rsidRDefault="00BF263B" w:rsidP="00BF263B">
      <w:pPr>
        <w:pStyle w:val="10"/>
        <w:numPr>
          <w:ilvl w:val="0"/>
          <w:numId w:val="0"/>
        </w:numPr>
        <w:spacing w:line="384" w:lineRule="auto"/>
      </w:pPr>
    </w:p>
    <w:p w:rsidR="00BF263B" w:rsidRPr="00D548CD" w:rsidRDefault="00BF263B" w:rsidP="00BF263B">
      <w:pPr>
        <w:spacing w:after="160" w:line="259" w:lineRule="auto"/>
      </w:pPr>
      <w:r w:rsidRPr="00D548CD">
        <w:rPr>
          <w:rStyle w:val="13"/>
          <w:rFonts w:eastAsiaTheme="majorEastAsia"/>
        </w:rPr>
        <w:t xml:space="preserve">Таблица </w:t>
      </w:r>
      <w:r>
        <w:rPr>
          <w:rStyle w:val="13"/>
          <w:rFonts w:eastAsiaTheme="majorEastAsia"/>
        </w:rPr>
        <w:t>3.4 –</w:t>
      </w:r>
      <w:r w:rsidRPr="00D548CD">
        <w:rPr>
          <w:rStyle w:val="13"/>
          <w:rFonts w:eastAsiaTheme="majorEastAsia"/>
        </w:rPr>
        <w:t xml:space="preserve"> Основные отличия между типами транзакций.</w:t>
      </w:r>
      <w:r w:rsidRPr="00D548CD">
        <w:t xml:space="preserve"> </w:t>
      </w:r>
    </w:p>
    <w:tbl>
      <w:tblPr>
        <w:tblStyle w:val="15"/>
        <w:tblW w:w="5000" w:type="pct"/>
        <w:tblLook w:val="04A0" w:firstRow="1" w:lastRow="0" w:firstColumn="1" w:lastColumn="0" w:noHBand="0" w:noVBand="1"/>
      </w:tblPr>
      <w:tblGrid>
        <w:gridCol w:w="6793"/>
        <w:gridCol w:w="643"/>
        <w:gridCol w:w="875"/>
        <w:gridCol w:w="1034"/>
      </w:tblGrid>
      <w:tr w:rsidR="00BF263B" w:rsidRPr="00D548CD" w:rsidTr="00420A13">
        <w:tc>
          <w:tcPr>
            <w:tcW w:w="3635" w:type="pct"/>
            <w:vMerge w:val="restar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1365" w:type="pct"/>
            <w:gridSpan w:val="3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Тип транзакции</w:t>
            </w:r>
          </w:p>
        </w:tc>
      </w:tr>
      <w:tr w:rsidR="00BF263B" w:rsidRPr="00D548CD" w:rsidTr="00420A13">
        <w:tc>
          <w:tcPr>
            <w:tcW w:w="3635" w:type="pct"/>
            <w:vMerge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4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EI</w:t>
            </w:r>
          </w:p>
        </w:tc>
        <w:tc>
          <w:tcPr>
            <w:tcW w:w="468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EO</w:t>
            </w:r>
          </w:p>
        </w:tc>
        <w:tc>
          <w:tcPr>
            <w:tcW w:w="553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EQ</w:t>
            </w:r>
          </w:p>
        </w:tc>
      </w:tr>
      <w:tr w:rsidR="00BF263B" w:rsidRPr="00D548CD" w:rsidTr="00420A13">
        <w:tc>
          <w:tcPr>
            <w:tcW w:w="3635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Изменяет поведение системы</w:t>
            </w:r>
          </w:p>
        </w:tc>
        <w:tc>
          <w:tcPr>
            <w:tcW w:w="344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О</w:t>
            </w:r>
          </w:p>
        </w:tc>
        <w:tc>
          <w:tcPr>
            <w:tcW w:w="468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Д</w:t>
            </w:r>
          </w:p>
        </w:tc>
        <w:tc>
          <w:tcPr>
            <w:tcW w:w="553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NA</w:t>
            </w:r>
          </w:p>
        </w:tc>
      </w:tr>
      <w:tr w:rsidR="00BF263B" w:rsidRPr="00D548CD" w:rsidTr="00420A13">
        <w:tc>
          <w:tcPr>
            <w:tcW w:w="3635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Поддержка одного или более ILF</w:t>
            </w:r>
          </w:p>
        </w:tc>
        <w:tc>
          <w:tcPr>
            <w:tcW w:w="344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О</w:t>
            </w:r>
          </w:p>
        </w:tc>
        <w:tc>
          <w:tcPr>
            <w:tcW w:w="468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Д</w:t>
            </w:r>
          </w:p>
        </w:tc>
        <w:tc>
          <w:tcPr>
            <w:tcW w:w="553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NA</w:t>
            </w:r>
          </w:p>
        </w:tc>
      </w:tr>
      <w:tr w:rsidR="00BF263B" w:rsidRPr="00D548CD" w:rsidTr="00420A13">
        <w:tc>
          <w:tcPr>
            <w:tcW w:w="3635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Представление информации пользователю</w:t>
            </w:r>
          </w:p>
        </w:tc>
        <w:tc>
          <w:tcPr>
            <w:tcW w:w="344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Д</w:t>
            </w:r>
          </w:p>
        </w:tc>
        <w:tc>
          <w:tcPr>
            <w:tcW w:w="468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О</w:t>
            </w:r>
          </w:p>
        </w:tc>
        <w:tc>
          <w:tcPr>
            <w:tcW w:w="553" w:type="pct"/>
            <w:hideMark/>
          </w:tcPr>
          <w:p w:rsidR="00BF263B" w:rsidRPr="00D548CD" w:rsidRDefault="00BF263B" w:rsidP="00420A13">
            <w:pPr>
              <w:jc w:val="center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О</w:t>
            </w:r>
          </w:p>
        </w:tc>
      </w:tr>
    </w:tbl>
    <w:p w:rsidR="00BF263B" w:rsidRDefault="00BF263B" w:rsidP="00BF263B">
      <w:pPr>
        <w:pStyle w:val="12"/>
        <w:spacing w:before="240"/>
      </w:pPr>
      <w:r w:rsidRPr="00D548CD">
        <w:t>Легенда: О — основная; Д — дополнительная; NA — не применима.</w:t>
      </w:r>
    </w:p>
    <w:p w:rsidR="00BF263B" w:rsidRPr="00D548CD" w:rsidRDefault="00BF263B" w:rsidP="00BF263B">
      <w:pPr>
        <w:pStyle w:val="12"/>
      </w:pPr>
      <w:r w:rsidRPr="00D548CD">
        <w:t>Оценка сложности транзакции основывается на следующих ее характеристиках:</w:t>
      </w:r>
    </w:p>
    <w:p w:rsidR="00BF263B" w:rsidRPr="00D548CD" w:rsidRDefault="00BF263B" w:rsidP="00BF263B">
      <w:pPr>
        <w:pStyle w:val="10"/>
        <w:ind w:left="0" w:firstLine="0"/>
      </w:pPr>
      <w:r w:rsidRPr="00D548CD">
        <w:t>FTR (</w:t>
      </w:r>
      <w:proofErr w:type="spellStart"/>
      <w:r w:rsidRPr="00D548CD">
        <w:t>file</w:t>
      </w:r>
      <w:proofErr w:type="spellEnd"/>
      <w:r w:rsidRPr="00D548CD">
        <w:t xml:space="preserve"> </w:t>
      </w:r>
      <w:proofErr w:type="spellStart"/>
      <w:r w:rsidRPr="00D548CD">
        <w:t>type</w:t>
      </w:r>
      <w:proofErr w:type="spellEnd"/>
      <w:r w:rsidRPr="00D548CD">
        <w:t xml:space="preserve"> </w:t>
      </w:r>
      <w:proofErr w:type="spellStart"/>
      <w:r w:rsidRPr="00D548CD">
        <w:t>referenced</w:t>
      </w:r>
      <w:proofErr w:type="spellEnd"/>
      <w:r w:rsidRPr="00D548CD">
        <w:t>) — позволяет подсчитать количество различных файлов (информационных объектов) типа ILF и/или EIF модифицируемых или считываемых в транзакции.</w:t>
      </w:r>
    </w:p>
    <w:p w:rsidR="00BF263B" w:rsidRPr="00D548CD" w:rsidRDefault="00BF263B" w:rsidP="00BF263B">
      <w:pPr>
        <w:pStyle w:val="10"/>
        <w:ind w:left="0" w:firstLine="0"/>
      </w:pPr>
      <w:r w:rsidRPr="00D548CD">
        <w:t>DET (</w:t>
      </w:r>
      <w:proofErr w:type="spellStart"/>
      <w:r w:rsidRPr="00D548CD">
        <w:t>data</w:t>
      </w:r>
      <w:proofErr w:type="spellEnd"/>
      <w:r w:rsidRPr="00D548CD">
        <w:t xml:space="preserve"> </w:t>
      </w:r>
      <w:proofErr w:type="spellStart"/>
      <w:r w:rsidRPr="00D548CD">
        <w:t>element</w:t>
      </w:r>
      <w:proofErr w:type="spellEnd"/>
      <w:r w:rsidRPr="00D548CD">
        <w:t xml:space="preserve"> </w:t>
      </w:r>
      <w:proofErr w:type="spellStart"/>
      <w:r w:rsidRPr="00D548CD">
        <w:t>type</w:t>
      </w:r>
      <w:proofErr w:type="spellEnd"/>
      <w:r w:rsidRPr="00D548CD">
        <w:t>) — неповторяемое уникальное поле данных. Примеры. EI: поле ввода, кнопка. EO: поле данных отчета, сообщение об ошибке. EQ: поле ввода для поиска, поле вывода результата поиска.</w:t>
      </w:r>
    </w:p>
    <w:p w:rsidR="00BF263B" w:rsidRDefault="00BF263B" w:rsidP="00BF263B">
      <w:pPr>
        <w:pStyle w:val="12"/>
      </w:pPr>
      <w:r w:rsidRPr="00D548CD">
        <w:t xml:space="preserve">Для оценки сложности транзакций служат матрицы, которые </w:t>
      </w:r>
      <w:r>
        <w:t>представлены в таблице 3.5</w:t>
      </w:r>
      <w:r w:rsidRPr="00D548CD">
        <w:t xml:space="preserve"> и </w:t>
      </w:r>
      <w:r>
        <w:t>3.6</w:t>
      </w:r>
      <w:r w:rsidRPr="00D548CD">
        <w:t>.</w:t>
      </w:r>
    </w:p>
    <w:p w:rsidR="00BF263B" w:rsidRPr="00D548CD" w:rsidRDefault="00BF263B" w:rsidP="00BF263B">
      <w:pPr>
        <w:pStyle w:val="12"/>
      </w:pPr>
      <w:r w:rsidRPr="00D548CD">
        <w:t xml:space="preserve">Таблица </w:t>
      </w:r>
      <w:r>
        <w:t xml:space="preserve">3.5 – </w:t>
      </w:r>
      <w:r w:rsidRPr="00D548CD">
        <w:t>Матрица сложности внешних входных транзакций (EI)</w:t>
      </w:r>
    </w:p>
    <w:tbl>
      <w:tblPr>
        <w:tblStyle w:val="15"/>
        <w:tblW w:w="5000" w:type="pct"/>
        <w:tblLook w:val="04A0" w:firstRow="1" w:lastRow="0" w:firstColumn="1" w:lastColumn="0" w:noHBand="0" w:noVBand="1"/>
      </w:tblPr>
      <w:tblGrid>
        <w:gridCol w:w="2201"/>
        <w:gridCol w:w="2235"/>
        <w:gridCol w:w="2532"/>
        <w:gridCol w:w="2377"/>
      </w:tblGrid>
      <w:tr w:rsidR="00BF263B" w:rsidRPr="00D548CD" w:rsidTr="00420A13">
        <w:tc>
          <w:tcPr>
            <w:tcW w:w="1133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EI</w:t>
            </w:r>
          </w:p>
        </w:tc>
        <w:tc>
          <w:tcPr>
            <w:tcW w:w="1150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1-4 DET</w:t>
            </w:r>
          </w:p>
        </w:tc>
        <w:tc>
          <w:tcPr>
            <w:tcW w:w="1303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5-15 DET</w:t>
            </w:r>
          </w:p>
        </w:tc>
        <w:tc>
          <w:tcPr>
            <w:tcW w:w="1223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16+ DET</w:t>
            </w:r>
          </w:p>
        </w:tc>
      </w:tr>
      <w:tr w:rsidR="00BF263B" w:rsidRPr="00D548CD" w:rsidTr="00420A13">
        <w:tc>
          <w:tcPr>
            <w:tcW w:w="1133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0-1 FTR</w:t>
            </w:r>
          </w:p>
        </w:tc>
        <w:tc>
          <w:tcPr>
            <w:tcW w:w="1150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3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223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</w:tr>
      <w:tr w:rsidR="00BF263B" w:rsidRPr="00D548CD" w:rsidTr="00420A13">
        <w:tc>
          <w:tcPr>
            <w:tcW w:w="1133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2 FTR</w:t>
            </w:r>
          </w:p>
        </w:tc>
        <w:tc>
          <w:tcPr>
            <w:tcW w:w="1150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3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1223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</w:tr>
      <w:tr w:rsidR="00BF263B" w:rsidRPr="00D548CD" w:rsidTr="00420A13">
        <w:tc>
          <w:tcPr>
            <w:tcW w:w="1133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3+ FTR</w:t>
            </w:r>
          </w:p>
        </w:tc>
        <w:tc>
          <w:tcPr>
            <w:tcW w:w="1150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1303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1223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</w:tr>
    </w:tbl>
    <w:p w:rsidR="00BF263B" w:rsidRPr="00D548CD" w:rsidRDefault="00BF263B" w:rsidP="00BF263B">
      <w:pPr>
        <w:pStyle w:val="12"/>
        <w:spacing w:before="240"/>
      </w:pPr>
      <w:r w:rsidRPr="00D548CD">
        <w:t xml:space="preserve">Таблица </w:t>
      </w:r>
      <w:r>
        <w:t>3.6 –</w:t>
      </w:r>
      <w:r w:rsidRPr="00D548CD">
        <w:t xml:space="preserve"> Матрица сложности внешних выходных транзакций и внешних запросов (EO &amp; EQ)</w:t>
      </w:r>
    </w:p>
    <w:tbl>
      <w:tblPr>
        <w:tblStyle w:val="15"/>
        <w:tblW w:w="5000" w:type="pct"/>
        <w:tblLook w:val="04A0" w:firstRow="1" w:lastRow="0" w:firstColumn="1" w:lastColumn="0" w:noHBand="0" w:noVBand="1"/>
      </w:tblPr>
      <w:tblGrid>
        <w:gridCol w:w="2416"/>
        <w:gridCol w:w="2164"/>
        <w:gridCol w:w="2461"/>
        <w:gridCol w:w="2304"/>
      </w:tblGrid>
      <w:tr w:rsidR="00BF263B" w:rsidRPr="00D548CD" w:rsidTr="00420A13">
        <w:tc>
          <w:tcPr>
            <w:tcW w:w="1292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EO &amp; EQ</w:t>
            </w:r>
          </w:p>
        </w:tc>
        <w:tc>
          <w:tcPr>
            <w:tcW w:w="1158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1-5 DET</w:t>
            </w:r>
          </w:p>
        </w:tc>
        <w:tc>
          <w:tcPr>
            <w:tcW w:w="1317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6-19 DET</w:t>
            </w:r>
          </w:p>
        </w:tc>
        <w:tc>
          <w:tcPr>
            <w:tcW w:w="1233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20+ DET</w:t>
            </w:r>
          </w:p>
        </w:tc>
      </w:tr>
      <w:tr w:rsidR="00BF263B" w:rsidRPr="00D548CD" w:rsidTr="00420A13">
        <w:tc>
          <w:tcPr>
            <w:tcW w:w="1292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0-1 FTR</w:t>
            </w:r>
          </w:p>
        </w:tc>
        <w:tc>
          <w:tcPr>
            <w:tcW w:w="1158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17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233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</w:tr>
      <w:tr w:rsidR="00BF263B" w:rsidRPr="00D548CD" w:rsidTr="00420A13">
        <w:tc>
          <w:tcPr>
            <w:tcW w:w="1292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2-3 FTR</w:t>
            </w:r>
          </w:p>
        </w:tc>
        <w:tc>
          <w:tcPr>
            <w:tcW w:w="1158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17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1233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</w:tr>
      <w:tr w:rsidR="00BF263B" w:rsidRPr="00D548CD" w:rsidTr="00420A13">
        <w:tc>
          <w:tcPr>
            <w:tcW w:w="1292" w:type="pct"/>
            <w:hideMark/>
          </w:tcPr>
          <w:p w:rsidR="00BF263B" w:rsidRPr="00D548CD" w:rsidRDefault="00BF263B" w:rsidP="00420A13">
            <w:pPr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4+ FTR</w:t>
            </w:r>
          </w:p>
        </w:tc>
        <w:tc>
          <w:tcPr>
            <w:tcW w:w="1158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1317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1233" w:type="pct"/>
            <w:hideMark/>
          </w:tcPr>
          <w:p w:rsidR="00BF263B" w:rsidRPr="00D548CD" w:rsidRDefault="00BF263B" w:rsidP="00420A13">
            <w:pPr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</w:tr>
    </w:tbl>
    <w:p w:rsidR="00BF263B" w:rsidRDefault="00BF263B" w:rsidP="00BF263B">
      <w:pPr>
        <w:pStyle w:val="12"/>
      </w:pPr>
      <w:r w:rsidRPr="00D548CD">
        <w:t>Оценка транзакций в не выровненных функциональных точках (UFP)</w:t>
      </w:r>
      <w:r>
        <w:t xml:space="preserve"> может быть получена из матрицы, представленной в таблице 3.7.</w:t>
      </w:r>
    </w:p>
    <w:p w:rsidR="00BF263B" w:rsidRDefault="00BF263B" w:rsidP="00BF263B">
      <w:pPr>
        <w:pStyle w:val="12"/>
      </w:pPr>
    </w:p>
    <w:p w:rsidR="00BF263B" w:rsidRDefault="00BF263B" w:rsidP="00BF263B">
      <w:pPr>
        <w:pStyle w:val="12"/>
      </w:pPr>
    </w:p>
    <w:p w:rsidR="00BF263B" w:rsidRPr="00D548CD" w:rsidRDefault="00BF263B" w:rsidP="00BF263B">
      <w:pPr>
        <w:pStyle w:val="12"/>
      </w:pPr>
      <w:r w:rsidRPr="00D548CD">
        <w:t xml:space="preserve">Таблица </w:t>
      </w:r>
      <w:r>
        <w:t>3.7 –</w:t>
      </w:r>
      <w:r w:rsidRPr="00D548CD">
        <w:t xml:space="preserve"> Сложность транзакций в не выровненных функциональных точках (UFP)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2968"/>
        <w:gridCol w:w="3452"/>
        <w:gridCol w:w="2830"/>
      </w:tblGrid>
      <w:tr w:rsidR="00BF263B" w:rsidRPr="00D548CD" w:rsidTr="00420A13"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lastRenderedPageBreak/>
              <w:t>Сложность транзакций</w:t>
            </w:r>
          </w:p>
        </w:tc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Количество UFP (EI &amp; EQ)</w:t>
            </w:r>
          </w:p>
        </w:tc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548CD">
              <w:rPr>
                <w:bCs/>
                <w:sz w:val="28"/>
                <w:szCs w:val="28"/>
              </w:rPr>
              <w:t>Количество UFP (EO)</w:t>
            </w:r>
          </w:p>
        </w:tc>
      </w:tr>
      <w:tr w:rsidR="00BF263B" w:rsidRPr="00D548CD" w:rsidTr="00420A13"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4</w:t>
            </w:r>
          </w:p>
        </w:tc>
      </w:tr>
      <w:tr w:rsidR="00BF263B" w:rsidRPr="00D548CD" w:rsidTr="00420A13">
        <w:trPr>
          <w:trHeight w:val="328"/>
        </w:trPr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5</w:t>
            </w:r>
          </w:p>
        </w:tc>
      </w:tr>
      <w:tr w:rsidR="00BF263B" w:rsidRPr="00D548CD" w:rsidTr="00420A13">
        <w:trPr>
          <w:trHeight w:val="264"/>
        </w:trPr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548CD">
              <w:rPr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BF263B" w:rsidRPr="00D548CD" w:rsidRDefault="00BF263B" w:rsidP="00420A1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548CD">
              <w:rPr>
                <w:sz w:val="28"/>
                <w:szCs w:val="28"/>
              </w:rPr>
              <w:t>7</w:t>
            </w:r>
          </w:p>
        </w:tc>
      </w:tr>
    </w:tbl>
    <w:p w:rsidR="00BF263B" w:rsidRDefault="00BF263B" w:rsidP="00BF263B">
      <w:pPr>
        <w:pStyle w:val="12"/>
        <w:spacing w:before="240"/>
      </w:pPr>
      <w:r>
        <w:t>Расчет оценки сложности транзакций приведен в таблице 3.8.</w:t>
      </w:r>
    </w:p>
    <w:p w:rsidR="00BF263B" w:rsidRDefault="00BF263B" w:rsidP="00BF263B">
      <w:pPr>
        <w:pStyle w:val="12"/>
      </w:pPr>
      <w:r>
        <w:t>Таблица 3.8. – Оценка сложности транзакций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6"/>
        <w:gridCol w:w="730"/>
        <w:gridCol w:w="843"/>
        <w:gridCol w:w="1501"/>
        <w:gridCol w:w="1557"/>
        <w:gridCol w:w="808"/>
      </w:tblGrid>
      <w:tr w:rsidR="00BF263B" w:rsidTr="00420A13">
        <w:tc>
          <w:tcPr>
            <w:tcW w:w="3906" w:type="dxa"/>
          </w:tcPr>
          <w:p w:rsidR="00BF263B" w:rsidRDefault="00BF263B" w:rsidP="00420A13">
            <w:pPr>
              <w:pStyle w:val="12"/>
              <w:ind w:firstLine="0"/>
            </w:pPr>
            <w:r>
              <w:t>Форма/транзакция</w:t>
            </w:r>
          </w:p>
        </w:tc>
        <w:tc>
          <w:tcPr>
            <w:tcW w:w="730" w:type="dxa"/>
          </w:tcPr>
          <w:p w:rsidR="00BF263B" w:rsidRPr="00FF147A" w:rsidRDefault="00BF263B" w:rsidP="00420A13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FTR</w:t>
            </w:r>
          </w:p>
        </w:tc>
        <w:tc>
          <w:tcPr>
            <w:tcW w:w="843" w:type="dxa"/>
          </w:tcPr>
          <w:p w:rsidR="00BF263B" w:rsidRPr="00FF147A" w:rsidRDefault="00BF263B" w:rsidP="00420A13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DET</w:t>
            </w:r>
          </w:p>
        </w:tc>
        <w:tc>
          <w:tcPr>
            <w:tcW w:w="1501" w:type="dxa"/>
          </w:tcPr>
          <w:p w:rsidR="00BF263B" w:rsidRPr="00FF147A" w:rsidRDefault="00BF263B" w:rsidP="00420A13">
            <w:pPr>
              <w:pStyle w:val="12"/>
              <w:ind w:firstLine="0"/>
            </w:pPr>
            <w:r>
              <w:t xml:space="preserve">Тип </w:t>
            </w:r>
            <w:proofErr w:type="spellStart"/>
            <w:r>
              <w:t>транз</w:t>
            </w:r>
            <w:proofErr w:type="spellEnd"/>
            <w:r>
              <w:t>.</w:t>
            </w:r>
          </w:p>
        </w:tc>
        <w:tc>
          <w:tcPr>
            <w:tcW w:w="1557" w:type="dxa"/>
          </w:tcPr>
          <w:p w:rsidR="00BF263B" w:rsidRDefault="00BF263B" w:rsidP="00420A13">
            <w:pPr>
              <w:pStyle w:val="12"/>
              <w:ind w:firstLine="0"/>
            </w:pPr>
            <w:r>
              <w:t>Сложность</w:t>
            </w:r>
          </w:p>
        </w:tc>
        <w:tc>
          <w:tcPr>
            <w:tcW w:w="808" w:type="dxa"/>
          </w:tcPr>
          <w:p w:rsidR="00BF263B" w:rsidRPr="00FF147A" w:rsidRDefault="00BF263B" w:rsidP="00420A13">
            <w:pPr>
              <w:pStyle w:val="12"/>
              <w:ind w:firstLine="0"/>
            </w:pPr>
            <w:r>
              <w:rPr>
                <w:lang w:val="en-US"/>
              </w:rPr>
              <w:t>UFP</w:t>
            </w:r>
          </w:p>
        </w:tc>
      </w:tr>
      <w:tr w:rsidR="00BF263B" w:rsidTr="00420A13">
        <w:tc>
          <w:tcPr>
            <w:tcW w:w="3906" w:type="dxa"/>
          </w:tcPr>
          <w:p w:rsidR="00BF263B" w:rsidRDefault="00BF263B" w:rsidP="00420A13">
            <w:pPr>
              <w:pStyle w:val="12"/>
              <w:ind w:firstLine="0"/>
            </w:pPr>
            <w:r>
              <w:t>Авторизация</w:t>
            </w:r>
          </w:p>
        </w:tc>
        <w:tc>
          <w:tcPr>
            <w:tcW w:w="730" w:type="dxa"/>
          </w:tcPr>
          <w:p w:rsidR="00BF263B" w:rsidRPr="009B5585" w:rsidRDefault="00BF263B" w:rsidP="00420A13">
            <w:pPr>
              <w:pStyle w:val="12"/>
              <w:ind w:firstLine="0"/>
            </w:pPr>
            <w:r>
              <w:t>2</w:t>
            </w:r>
          </w:p>
        </w:tc>
        <w:tc>
          <w:tcPr>
            <w:tcW w:w="843" w:type="dxa"/>
          </w:tcPr>
          <w:p w:rsidR="00BF263B" w:rsidRPr="009B5585" w:rsidRDefault="00BF263B" w:rsidP="00420A13">
            <w:pPr>
              <w:pStyle w:val="12"/>
              <w:ind w:firstLine="0"/>
            </w:pPr>
            <w:r>
              <w:t>2</w:t>
            </w:r>
          </w:p>
        </w:tc>
        <w:tc>
          <w:tcPr>
            <w:tcW w:w="1501" w:type="dxa"/>
          </w:tcPr>
          <w:p w:rsidR="00BF263B" w:rsidRPr="009B5585" w:rsidRDefault="00BF263B" w:rsidP="00420A13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BF263B" w:rsidRDefault="00BF263B" w:rsidP="00420A13">
            <w:pPr>
              <w:pStyle w:val="12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BF263B" w:rsidRDefault="00BF263B" w:rsidP="00420A13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263B" w:rsidTr="00420A13">
        <w:tc>
          <w:tcPr>
            <w:tcW w:w="3906" w:type="dxa"/>
          </w:tcPr>
          <w:p w:rsidR="00BF263B" w:rsidRDefault="00BF263B" w:rsidP="00420A13">
            <w:pPr>
              <w:pStyle w:val="12"/>
              <w:ind w:firstLine="0"/>
            </w:pPr>
            <w:r w:rsidRPr="00FB73CC">
              <w:t>Оформить договор</w:t>
            </w:r>
          </w:p>
        </w:tc>
        <w:tc>
          <w:tcPr>
            <w:tcW w:w="730" w:type="dxa"/>
          </w:tcPr>
          <w:p w:rsidR="00BF263B" w:rsidRPr="00FB73CC" w:rsidRDefault="00BF263B" w:rsidP="00420A13">
            <w:pPr>
              <w:pStyle w:val="12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BF263B" w:rsidRPr="00FB73CC" w:rsidRDefault="00BF263B" w:rsidP="00420A13">
            <w:pPr>
              <w:pStyle w:val="12"/>
              <w:ind w:firstLine="0"/>
            </w:pPr>
            <w:r>
              <w:t>10</w:t>
            </w:r>
          </w:p>
        </w:tc>
        <w:tc>
          <w:tcPr>
            <w:tcW w:w="1501" w:type="dxa"/>
          </w:tcPr>
          <w:p w:rsidR="00BF263B" w:rsidRPr="009B5585" w:rsidRDefault="00BF263B" w:rsidP="00420A13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BF263B" w:rsidRDefault="00BF263B" w:rsidP="00420A13">
            <w:pPr>
              <w:pStyle w:val="12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BF263B" w:rsidRPr="00FB73CC" w:rsidRDefault="00BF263B" w:rsidP="00420A13">
            <w:pPr>
              <w:pStyle w:val="12"/>
              <w:ind w:firstLine="0"/>
            </w:pPr>
            <w:r>
              <w:t>3</w:t>
            </w:r>
          </w:p>
        </w:tc>
      </w:tr>
      <w:tr w:rsidR="00BF263B" w:rsidTr="00420A13">
        <w:tc>
          <w:tcPr>
            <w:tcW w:w="3906" w:type="dxa"/>
          </w:tcPr>
          <w:p w:rsidR="00BF263B" w:rsidRDefault="00BF263B" w:rsidP="00420A13">
            <w:pPr>
              <w:pStyle w:val="12"/>
              <w:ind w:firstLine="0"/>
            </w:pPr>
            <w:r w:rsidRPr="00FB73CC">
              <w:t>Заполнить заявление на обучение</w:t>
            </w:r>
          </w:p>
        </w:tc>
        <w:tc>
          <w:tcPr>
            <w:tcW w:w="730" w:type="dxa"/>
          </w:tcPr>
          <w:p w:rsidR="00BF263B" w:rsidRPr="00FB73CC" w:rsidRDefault="00BF263B" w:rsidP="00420A13">
            <w:pPr>
              <w:pStyle w:val="12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BF263B" w:rsidRPr="00FB73CC" w:rsidRDefault="00BF263B" w:rsidP="00420A13">
            <w:pPr>
              <w:pStyle w:val="12"/>
              <w:ind w:firstLine="0"/>
            </w:pPr>
            <w:r>
              <w:t>10</w:t>
            </w:r>
          </w:p>
        </w:tc>
        <w:tc>
          <w:tcPr>
            <w:tcW w:w="1501" w:type="dxa"/>
          </w:tcPr>
          <w:p w:rsidR="00BF263B" w:rsidRDefault="00BF263B" w:rsidP="00420A13">
            <w:pPr>
              <w:pStyle w:val="12"/>
              <w:ind w:firstLine="0"/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BF263B" w:rsidRDefault="00BF263B" w:rsidP="00420A13">
            <w:pPr>
              <w:pStyle w:val="12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BF263B" w:rsidRDefault="00BF263B" w:rsidP="00420A13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263B" w:rsidTr="00420A13">
        <w:tc>
          <w:tcPr>
            <w:tcW w:w="3906" w:type="dxa"/>
          </w:tcPr>
          <w:p w:rsidR="00BF263B" w:rsidRDefault="00BF263B" w:rsidP="00420A13">
            <w:pPr>
              <w:pStyle w:val="12"/>
              <w:ind w:firstLine="0"/>
            </w:pPr>
            <w:r w:rsidRPr="00FB73CC">
              <w:t>Посмотреть историю своих заказов</w:t>
            </w:r>
          </w:p>
        </w:tc>
        <w:tc>
          <w:tcPr>
            <w:tcW w:w="730" w:type="dxa"/>
          </w:tcPr>
          <w:p w:rsidR="00BF263B" w:rsidRPr="00FB73CC" w:rsidRDefault="00BF263B" w:rsidP="00420A13">
            <w:pPr>
              <w:pStyle w:val="12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BF263B" w:rsidRPr="00FB73CC" w:rsidRDefault="00BF263B" w:rsidP="00420A13">
            <w:pPr>
              <w:pStyle w:val="12"/>
              <w:ind w:firstLine="0"/>
            </w:pPr>
            <w:r>
              <w:t>1</w:t>
            </w:r>
          </w:p>
        </w:tc>
        <w:tc>
          <w:tcPr>
            <w:tcW w:w="1501" w:type="dxa"/>
          </w:tcPr>
          <w:p w:rsidR="00BF263B" w:rsidRDefault="00BF263B" w:rsidP="00420A13">
            <w:pPr>
              <w:pStyle w:val="12"/>
              <w:ind w:firstLine="0"/>
            </w:pPr>
            <w:r>
              <w:rPr>
                <w:lang w:val="en-US"/>
              </w:rPr>
              <w:t>EQ</w:t>
            </w:r>
          </w:p>
        </w:tc>
        <w:tc>
          <w:tcPr>
            <w:tcW w:w="1557" w:type="dxa"/>
          </w:tcPr>
          <w:p w:rsidR="00BF263B" w:rsidRDefault="00BF263B" w:rsidP="00420A13">
            <w:pPr>
              <w:pStyle w:val="12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BF263B" w:rsidRPr="00FB73CC" w:rsidRDefault="00BF263B" w:rsidP="00420A13">
            <w:pPr>
              <w:pStyle w:val="12"/>
              <w:ind w:firstLine="0"/>
            </w:pPr>
            <w:r>
              <w:t>4</w:t>
            </w:r>
          </w:p>
        </w:tc>
      </w:tr>
      <w:tr w:rsidR="00BF263B" w:rsidTr="00420A13">
        <w:tc>
          <w:tcPr>
            <w:tcW w:w="3906" w:type="dxa"/>
          </w:tcPr>
          <w:p w:rsidR="00BF263B" w:rsidRDefault="00BF263B" w:rsidP="00420A13">
            <w:pPr>
              <w:pStyle w:val="12"/>
              <w:ind w:firstLine="0"/>
            </w:pPr>
            <w:r w:rsidRPr="00FB73CC">
              <w:t>Осуществить оплату</w:t>
            </w:r>
          </w:p>
        </w:tc>
        <w:tc>
          <w:tcPr>
            <w:tcW w:w="730" w:type="dxa"/>
          </w:tcPr>
          <w:p w:rsidR="00BF263B" w:rsidRPr="00FB73CC" w:rsidRDefault="00BF263B" w:rsidP="00420A13">
            <w:pPr>
              <w:pStyle w:val="12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BF263B" w:rsidRPr="00AF0F12" w:rsidRDefault="00BF263B" w:rsidP="00420A13">
            <w:pPr>
              <w:pStyle w:val="12"/>
              <w:ind w:firstLine="0"/>
            </w:pPr>
            <w:r>
              <w:t>1</w:t>
            </w:r>
          </w:p>
        </w:tc>
        <w:tc>
          <w:tcPr>
            <w:tcW w:w="1501" w:type="dxa"/>
          </w:tcPr>
          <w:p w:rsidR="00BF263B" w:rsidRDefault="00BF263B" w:rsidP="00420A13">
            <w:pPr>
              <w:pStyle w:val="12"/>
              <w:ind w:firstLine="0"/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BF263B" w:rsidRDefault="00BF263B" w:rsidP="00420A13">
            <w:pPr>
              <w:pStyle w:val="12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BF263B" w:rsidRPr="00FB73CC" w:rsidRDefault="00BF263B" w:rsidP="00420A13">
            <w:pPr>
              <w:pStyle w:val="12"/>
              <w:ind w:firstLine="0"/>
            </w:pPr>
            <w:r>
              <w:t>3</w:t>
            </w:r>
          </w:p>
        </w:tc>
      </w:tr>
      <w:tr w:rsidR="00BF263B" w:rsidTr="00420A13">
        <w:tc>
          <w:tcPr>
            <w:tcW w:w="3906" w:type="dxa"/>
          </w:tcPr>
          <w:p w:rsidR="00BF263B" w:rsidRDefault="00BF263B" w:rsidP="00420A13">
            <w:pPr>
              <w:pStyle w:val="12"/>
              <w:ind w:firstLine="0"/>
            </w:pPr>
            <w:r>
              <w:t>ИТОГО</w:t>
            </w:r>
          </w:p>
        </w:tc>
        <w:tc>
          <w:tcPr>
            <w:tcW w:w="730" w:type="dxa"/>
          </w:tcPr>
          <w:p w:rsidR="00BF263B" w:rsidRPr="00983350" w:rsidRDefault="00BF263B" w:rsidP="00420A13">
            <w:pPr>
              <w:pStyle w:val="12"/>
              <w:ind w:firstLine="0"/>
            </w:pPr>
          </w:p>
        </w:tc>
        <w:tc>
          <w:tcPr>
            <w:tcW w:w="843" w:type="dxa"/>
          </w:tcPr>
          <w:p w:rsidR="00BF263B" w:rsidRPr="00983350" w:rsidRDefault="00BF263B" w:rsidP="00420A13">
            <w:pPr>
              <w:pStyle w:val="12"/>
              <w:ind w:firstLine="0"/>
            </w:pPr>
          </w:p>
        </w:tc>
        <w:tc>
          <w:tcPr>
            <w:tcW w:w="1501" w:type="dxa"/>
          </w:tcPr>
          <w:p w:rsidR="00BF263B" w:rsidRDefault="00BF263B" w:rsidP="00420A13">
            <w:pPr>
              <w:pStyle w:val="12"/>
              <w:ind w:firstLine="0"/>
            </w:pPr>
          </w:p>
        </w:tc>
        <w:tc>
          <w:tcPr>
            <w:tcW w:w="1557" w:type="dxa"/>
          </w:tcPr>
          <w:p w:rsidR="00BF263B" w:rsidRDefault="00BF263B" w:rsidP="00420A13">
            <w:pPr>
              <w:pStyle w:val="12"/>
              <w:ind w:firstLine="0"/>
            </w:pPr>
          </w:p>
        </w:tc>
        <w:tc>
          <w:tcPr>
            <w:tcW w:w="808" w:type="dxa"/>
          </w:tcPr>
          <w:p w:rsidR="00BF263B" w:rsidRPr="00FB73CC" w:rsidRDefault="00BF263B" w:rsidP="00420A13">
            <w:pPr>
              <w:pStyle w:val="12"/>
              <w:ind w:firstLine="0"/>
            </w:pPr>
            <w:r>
              <w:t>16</w:t>
            </w:r>
          </w:p>
        </w:tc>
      </w:tr>
    </w:tbl>
    <w:p w:rsidR="00BF263B" w:rsidRPr="009F3E09" w:rsidRDefault="00BF263B" w:rsidP="00BF263B">
      <w:pPr>
        <w:pStyle w:val="12"/>
        <w:spacing w:before="240"/>
      </w:pPr>
      <w:r>
        <w:t xml:space="preserve">Получаем, что сложность транзакций оценена в 16 функциональных точек. Таким образом, общее количество не выровненных функциональных точек равно: </w:t>
      </w:r>
      <w:r>
        <w:rPr>
          <w:lang w:val="en-US"/>
        </w:rPr>
        <w:t>UFP</w:t>
      </w:r>
      <w:r w:rsidRPr="00E3158E">
        <w:t xml:space="preserve"> =</w:t>
      </w:r>
      <w:r w:rsidRPr="009F3E09">
        <w:t>70</w:t>
      </w:r>
    </w:p>
    <w:p w:rsidR="00BF263B" w:rsidRPr="00576E69" w:rsidRDefault="00BF263B" w:rsidP="00BF263B">
      <w:pPr>
        <w:pStyle w:val="12"/>
      </w:pPr>
      <w:r w:rsidRPr="00576E69">
        <w:t>Помимо функциональных требований на продукт накладываются общесистемные требования, которые ограничивают разработчиков в выборе решения и увеличивают сложность разработки. Для учета этой сложности применяется фактор выравнивания (VAF). Значение фактора VAF зависит от 14 параметров, которые определяют системные характеристики продукта.</w:t>
      </w:r>
    </w:p>
    <w:p w:rsidR="00BF263B" w:rsidRDefault="00BF263B" w:rsidP="00BF263B">
      <w:pPr>
        <w:pStyle w:val="12"/>
      </w:pPr>
      <w:r w:rsidRPr="00576E69">
        <w:t>В таблице 3.9 представлены все параметры с описанием, баллы проставляются от 0 до 5.</w:t>
      </w:r>
    </w:p>
    <w:p w:rsidR="00BF263B" w:rsidRDefault="00BF263B" w:rsidP="00BF263B">
      <w:pPr>
        <w:pStyle w:val="12"/>
      </w:pPr>
    </w:p>
    <w:p w:rsidR="00BF263B" w:rsidRPr="00576E69" w:rsidRDefault="00BF263B" w:rsidP="00BF263B">
      <w:pPr>
        <w:pStyle w:val="12"/>
      </w:pPr>
      <w:r w:rsidRPr="00576E69">
        <w:t>Таблица 3.9 – Оценка системных характеристик</w:t>
      </w:r>
    </w:p>
    <w:tbl>
      <w:tblPr>
        <w:tblStyle w:val="TableGrid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5387"/>
        <w:gridCol w:w="1099"/>
      </w:tblGrid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№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Описание</w:t>
            </w:r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Оценка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Обмен данными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 xml:space="preserve">0 — продукт представляет собой автономное приложение; 5 — продукт обменивается данными </w:t>
            </w:r>
            <w:r w:rsidRPr="00DA30EB">
              <w:rPr>
                <w:sz w:val="24"/>
                <w:szCs w:val="24"/>
              </w:rPr>
              <w:lastRenderedPageBreak/>
              <w:t>по более, чем одному телекоммуникационному протоколу</w:t>
            </w:r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rFonts w:eastAsiaTheme="majorEastAsia"/>
              </w:rPr>
              <w:t> </w:t>
            </w:r>
            <w:r w:rsidRPr="00DA30EB">
              <w:rPr>
                <w:sz w:val="24"/>
                <w:szCs w:val="24"/>
              </w:rPr>
              <w:t>— продукт не перемещает данные; 5 — распределенная обработка данных выполняется несколькими компонентами системы</w:t>
            </w:r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Производительность</w:t>
            </w:r>
            <w:r w:rsidRPr="00DA30EB">
              <w:rPr>
                <w:rStyle w:val="apple-converted-space"/>
                <w:rFonts w:eastAsiaTheme="majorEastAsia"/>
                <w:iCs/>
              </w:rPr>
              <w:t> 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rFonts w:eastAsiaTheme="majorEastAsia"/>
              </w:rPr>
              <w:t> </w:t>
            </w:r>
            <w:r w:rsidRPr="00DA30EB">
              <w:rPr>
                <w:sz w:val="24"/>
                <w:szCs w:val="24"/>
              </w:rPr>
              <w:t>— пользовательские требования по производительности не установлены; 5 — время отклика сильно ограничено критично для всех бизнес-операций, для удовлетворения требованиям необходимы специальные проектные решения и инструменты анализа.</w:t>
            </w:r>
          </w:p>
        </w:tc>
        <w:tc>
          <w:tcPr>
            <w:tcW w:w="1099" w:type="dxa"/>
          </w:tcPr>
          <w:p w:rsidR="00BF263B" w:rsidRPr="00224168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Ограничения по аппаратным ресурсам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rFonts w:eastAsiaTheme="majorEastAsia"/>
              </w:rPr>
              <w:t> </w:t>
            </w:r>
            <w:r w:rsidRPr="00DA30EB">
              <w:rPr>
                <w:sz w:val="24"/>
                <w:szCs w:val="24"/>
              </w:rPr>
              <w:t>— нет ограничений; 5 — продукт целиком должен функционировать на определенном процессоре и не может быть распределен</w:t>
            </w:r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Транзакционная нагрузка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rFonts w:eastAsiaTheme="majorEastAsia"/>
              </w:rPr>
              <w:t> </w:t>
            </w:r>
            <w:r w:rsidRPr="00DA30EB">
              <w:rPr>
                <w:sz w:val="24"/>
                <w:szCs w:val="24"/>
              </w:rPr>
              <w:t>— транзакций не много, без пиков; 5 — число транзакций велико и неравномерно, требуются специальные решения и инструменты</w:t>
            </w:r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Интенсивность взаимодействия с пользователем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rFonts w:eastAsiaTheme="majorEastAsia"/>
              </w:rPr>
              <w:t> </w:t>
            </w:r>
            <w:r w:rsidRPr="00DA30EB">
              <w:rPr>
                <w:sz w:val="24"/>
                <w:szCs w:val="24"/>
              </w:rPr>
              <w:t>— все транзакции обрабатываются в пакетном режиме; 5 — более 30% транзакций — интерактивные</w:t>
            </w:r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Эргономика</w:t>
            </w:r>
            <w:r w:rsidRPr="00DA30EB">
              <w:rPr>
                <w:rStyle w:val="apple-converted-space"/>
                <w:rFonts w:eastAsiaTheme="majorEastAsia"/>
              </w:rPr>
              <w:t> 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0 — нет специальных требований; 5 — требования по эффективности очень жесткие</w:t>
            </w:r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 xml:space="preserve">Интенсивность изменения данных </w:t>
            </w:r>
            <w:r w:rsidRPr="00DA30EB">
              <w:rPr>
                <w:sz w:val="24"/>
                <w:szCs w:val="24"/>
              </w:rPr>
              <w:t>(ILF) пользователями</w:t>
            </w:r>
            <w:r w:rsidRPr="00DA30EB">
              <w:rPr>
                <w:rStyle w:val="apple-converted-space"/>
                <w:rFonts w:eastAsiaTheme="majorEastAsia"/>
              </w:rPr>
              <w:t> 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0 — не требуются; 5 — изменения интенсивные, жесткие требования по восстановлению</w:t>
            </w:r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9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Сложность обработки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rFonts w:eastAsiaTheme="majorEastAsia"/>
              </w:rPr>
              <w:t> </w:t>
            </w:r>
            <w:r w:rsidRPr="00DA30EB">
              <w:rPr>
                <w:sz w:val="24"/>
                <w:szCs w:val="24"/>
              </w:rPr>
              <w:t xml:space="preserve">— обработка минимальна; 5 — требования безопасности, логическая и математическая сложность, </w:t>
            </w:r>
            <w:proofErr w:type="spellStart"/>
            <w:r w:rsidRPr="00DA30EB">
              <w:rPr>
                <w:sz w:val="24"/>
                <w:szCs w:val="24"/>
              </w:rPr>
              <w:t>многопоточность</w:t>
            </w:r>
            <w:proofErr w:type="spellEnd"/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Повторное использование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0 — не требуется; 5 — продукт разрабатывается как стандартный многоразовый компонент</w:t>
            </w:r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11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Удобство инсталляции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rFonts w:eastAsiaTheme="majorEastAsia"/>
              </w:rPr>
              <w:t> </w:t>
            </w:r>
            <w:r w:rsidRPr="00DA30EB">
              <w:rPr>
                <w:sz w:val="24"/>
                <w:szCs w:val="24"/>
              </w:rPr>
              <w:t>— нет требований; 5 — установка и обновление ПО производится автоматически</w:t>
            </w:r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12</w:t>
            </w:r>
          </w:p>
        </w:tc>
        <w:tc>
          <w:tcPr>
            <w:tcW w:w="2551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Удобство администрирования</w:t>
            </w:r>
          </w:p>
        </w:tc>
        <w:tc>
          <w:tcPr>
            <w:tcW w:w="5387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 xml:space="preserve">0 — не требуется; 5 — система автоматически </w:t>
            </w:r>
            <w:proofErr w:type="spellStart"/>
            <w:r w:rsidRPr="00DA30EB">
              <w:rPr>
                <w:sz w:val="24"/>
                <w:szCs w:val="24"/>
              </w:rPr>
              <w:t>самовосстанавливается</w:t>
            </w:r>
            <w:proofErr w:type="spellEnd"/>
          </w:p>
        </w:tc>
        <w:tc>
          <w:tcPr>
            <w:tcW w:w="1099" w:type="dxa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  <w:tcBorders>
              <w:bottom w:val="nil"/>
            </w:tcBorders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bottom w:val="nil"/>
            </w:tcBorders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DA30EB">
              <w:rPr>
                <w:iCs/>
                <w:sz w:val="24"/>
                <w:szCs w:val="24"/>
              </w:rPr>
              <w:t>Портируемость</w:t>
            </w:r>
            <w:proofErr w:type="spellEnd"/>
          </w:p>
        </w:tc>
        <w:tc>
          <w:tcPr>
            <w:tcW w:w="5387" w:type="dxa"/>
            <w:tcBorders>
              <w:bottom w:val="nil"/>
            </w:tcBorders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0 — продукт имеет только 1 инсталляцию на единственном процессоре; 5 — система является распределенной и предполагает установку на различные «железо» и ОС</w:t>
            </w:r>
          </w:p>
        </w:tc>
        <w:tc>
          <w:tcPr>
            <w:tcW w:w="1099" w:type="dxa"/>
            <w:tcBorders>
              <w:bottom w:val="nil"/>
            </w:tcBorders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263B" w:rsidRPr="00DA30EB" w:rsidTr="00420A13">
        <w:trPr>
          <w:jc w:val="center"/>
        </w:trPr>
        <w:tc>
          <w:tcPr>
            <w:tcW w:w="534" w:type="dxa"/>
            <w:tcBorders>
              <w:top w:val="single" w:sz="4" w:space="0" w:color="auto"/>
            </w:tcBorders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Гибкость</w:t>
            </w:r>
            <w:r w:rsidRPr="00DA30EB">
              <w:rPr>
                <w:rStyle w:val="apple-converted-space"/>
                <w:rFonts w:eastAsiaTheme="majorEastAsia"/>
                <w:iCs/>
              </w:rPr>
              <w:t> 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iCs/>
                <w:sz w:val="24"/>
                <w:szCs w:val="24"/>
              </w:rPr>
              <w:t>0</w:t>
            </w:r>
            <w:r w:rsidRPr="00DA30EB">
              <w:rPr>
                <w:rStyle w:val="apple-converted-space"/>
                <w:rFonts w:eastAsiaTheme="majorEastAsia"/>
              </w:rPr>
              <w:t> </w:t>
            </w:r>
            <w:r w:rsidRPr="00DA30EB">
              <w:rPr>
                <w:sz w:val="24"/>
                <w:szCs w:val="24"/>
              </w:rPr>
              <w:t>— не требуется; 5 — гибкая система запросов и построение произвольных отчетов, модель данных изменяется пользователем в интерактивном режиме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F263B" w:rsidRPr="00DA30EB" w:rsidTr="00420A13">
        <w:trPr>
          <w:jc w:val="center"/>
        </w:trPr>
        <w:tc>
          <w:tcPr>
            <w:tcW w:w="8472" w:type="dxa"/>
            <w:gridSpan w:val="3"/>
          </w:tcPr>
          <w:p w:rsidR="00BF263B" w:rsidRPr="00DA30EB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 w:rsidRPr="00DA30EB">
              <w:rPr>
                <w:sz w:val="24"/>
                <w:szCs w:val="24"/>
              </w:rPr>
              <w:t>Сумма</w:t>
            </w:r>
          </w:p>
        </w:tc>
        <w:tc>
          <w:tcPr>
            <w:tcW w:w="1099" w:type="dxa"/>
          </w:tcPr>
          <w:p w:rsidR="00BF263B" w:rsidRPr="008B3B75" w:rsidRDefault="00BF263B" w:rsidP="00420A13">
            <w:pPr>
              <w:pStyle w:val="1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</w:tbl>
    <w:p w:rsidR="00BF263B" w:rsidRDefault="00BF263B" w:rsidP="00BF263B">
      <w:pPr>
        <w:pStyle w:val="12"/>
        <w:spacing w:before="240"/>
      </w:pPr>
      <w:r>
        <w:t xml:space="preserve"> Расчет значения фактора выравнивания производится по формуле 3.1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4"/>
      </w:tblGrid>
      <w:tr w:rsidR="00BF263B" w:rsidTr="00420A13">
        <w:tc>
          <w:tcPr>
            <w:tcW w:w="8755" w:type="dxa"/>
          </w:tcPr>
          <w:p w:rsidR="00BF263B" w:rsidRPr="008E2949" w:rsidRDefault="00BF263B" w:rsidP="00420A13">
            <w:pPr>
              <w:pStyle w:val="12"/>
              <w:jc w:val="center"/>
              <w:rPr>
                <w:iCs/>
              </w:rPr>
            </w:pPr>
            <w:r w:rsidRPr="008E2949">
              <w:rPr>
                <w:iCs/>
              </w:rPr>
              <w:t>VAF = (TDI *0.01) + 0.65</w:t>
            </w:r>
          </w:p>
        </w:tc>
        <w:tc>
          <w:tcPr>
            <w:tcW w:w="816" w:type="dxa"/>
          </w:tcPr>
          <w:p w:rsidR="00BF263B" w:rsidRPr="008E2949" w:rsidRDefault="00BF263B" w:rsidP="00420A13">
            <w:pPr>
              <w:pStyle w:val="12"/>
              <w:ind w:firstLine="0"/>
              <w:rPr>
                <w:iCs/>
              </w:rPr>
            </w:pPr>
            <w:r w:rsidRPr="008E2949">
              <w:rPr>
                <w:iCs/>
              </w:rPr>
              <w:t>(3.1)</w:t>
            </w:r>
          </w:p>
        </w:tc>
      </w:tr>
    </w:tbl>
    <w:p w:rsidR="00BF263B" w:rsidRDefault="00BF263B" w:rsidP="00BF263B">
      <w:pPr>
        <w:pStyle w:val="12"/>
      </w:pPr>
      <w:r w:rsidRPr="008E2949">
        <w:rPr>
          <w:iCs/>
        </w:rPr>
        <w:t>VAF</w:t>
      </w:r>
      <w:r>
        <w:rPr>
          <w:iCs/>
        </w:rPr>
        <w:t xml:space="preserve"> = (28 * 0,</w:t>
      </w:r>
      <w:proofErr w:type="gramStart"/>
      <w:r>
        <w:rPr>
          <w:iCs/>
        </w:rPr>
        <w:t>01)+</w:t>
      </w:r>
      <w:proofErr w:type="gramEnd"/>
      <w:r>
        <w:rPr>
          <w:iCs/>
        </w:rPr>
        <w:t>0,65 = 0,93</w:t>
      </w:r>
    </w:p>
    <w:p w:rsidR="00BF263B" w:rsidRDefault="00BF263B" w:rsidP="00BF263B">
      <w:pPr>
        <w:pStyle w:val="12"/>
      </w:pPr>
      <w:r>
        <w:lastRenderedPageBreak/>
        <w:t>Дальнейшая оценка в выровненных функциональных точках зависит от типа оценки. Начальная оценка количества выровненных функциональных точек для программного приложения определяется по следующей формуле 3.2: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4"/>
      </w:tblGrid>
      <w:tr w:rsidR="00BF263B" w:rsidTr="00420A13">
        <w:tc>
          <w:tcPr>
            <w:tcW w:w="8755" w:type="dxa"/>
          </w:tcPr>
          <w:p w:rsidR="00BF263B" w:rsidRPr="008E2949" w:rsidRDefault="00BF263B" w:rsidP="00420A13">
            <w:pPr>
              <w:pStyle w:val="12"/>
              <w:jc w:val="center"/>
              <w:rPr>
                <w:iCs/>
              </w:rPr>
            </w:pPr>
            <w:r w:rsidRPr="008E2949">
              <w:rPr>
                <w:iCs/>
              </w:rPr>
              <w:t>AFP = UFP * VAF</w:t>
            </w:r>
          </w:p>
        </w:tc>
        <w:tc>
          <w:tcPr>
            <w:tcW w:w="816" w:type="dxa"/>
          </w:tcPr>
          <w:p w:rsidR="00BF263B" w:rsidRPr="008E2949" w:rsidRDefault="00BF263B" w:rsidP="00420A13">
            <w:pPr>
              <w:pStyle w:val="12"/>
              <w:ind w:firstLine="0"/>
              <w:rPr>
                <w:iCs/>
              </w:rPr>
            </w:pPr>
            <w:r w:rsidRPr="008E2949">
              <w:rPr>
                <w:iCs/>
              </w:rPr>
              <w:t>(</w:t>
            </w:r>
            <w:r>
              <w:rPr>
                <w:iCs/>
              </w:rPr>
              <w:t>3.2</w:t>
            </w:r>
            <w:r w:rsidRPr="008E2949">
              <w:rPr>
                <w:iCs/>
              </w:rPr>
              <w:t>)</w:t>
            </w:r>
          </w:p>
        </w:tc>
      </w:tr>
    </w:tbl>
    <w:p w:rsidR="00BF263B" w:rsidRPr="00016780" w:rsidRDefault="00BF263B" w:rsidP="00BF263B">
      <w:pPr>
        <w:pStyle w:val="12"/>
        <w:rPr>
          <w:lang w:val="en-US"/>
        </w:rPr>
      </w:pPr>
      <w:r>
        <w:rPr>
          <w:iCs/>
          <w:lang w:val="en-US"/>
        </w:rPr>
        <w:t>AFP</w:t>
      </w:r>
      <w:r w:rsidRPr="008E2949">
        <w:rPr>
          <w:iCs/>
        </w:rPr>
        <w:t xml:space="preserve"> = </w:t>
      </w:r>
      <w:r>
        <w:rPr>
          <w:iCs/>
          <w:lang w:val="en-US"/>
        </w:rPr>
        <w:t>70</w:t>
      </w:r>
      <w:r w:rsidRPr="008E2949">
        <w:rPr>
          <w:iCs/>
        </w:rPr>
        <w:t xml:space="preserve"> </w:t>
      </w:r>
      <w:r>
        <w:rPr>
          <w:iCs/>
        </w:rPr>
        <w:t>*</w:t>
      </w:r>
      <w:r w:rsidRPr="008E2949">
        <w:rPr>
          <w:iCs/>
        </w:rPr>
        <w:t xml:space="preserve"> </w:t>
      </w:r>
      <w:r>
        <w:rPr>
          <w:iCs/>
        </w:rPr>
        <w:t>0,9</w:t>
      </w:r>
      <w:r>
        <w:rPr>
          <w:iCs/>
          <w:lang w:val="en-US"/>
        </w:rPr>
        <w:t>3</w:t>
      </w:r>
      <w:r>
        <w:rPr>
          <w:iCs/>
        </w:rPr>
        <w:t xml:space="preserve"> = </w:t>
      </w:r>
      <w:r>
        <w:rPr>
          <w:iCs/>
          <w:lang w:val="en-US"/>
        </w:rPr>
        <w:t>65,1</w:t>
      </w:r>
    </w:p>
    <w:p w:rsidR="00BF263B" w:rsidRDefault="00BF263B" w:rsidP="00BF263B">
      <w:pPr>
        <w:pStyle w:val="12"/>
      </w:pPr>
      <w:r>
        <w:t>Она учитывает только новую функциональность, которая реализуется в продукте.</w:t>
      </w:r>
    </w:p>
    <w:p w:rsidR="00BF263B" w:rsidRPr="00E3158E" w:rsidRDefault="00BF263B" w:rsidP="00BF263B">
      <w:pPr>
        <w:pStyle w:val="12"/>
      </w:pPr>
      <w:r>
        <w:rPr>
          <w:sz w:val="27"/>
          <w:szCs w:val="27"/>
        </w:rPr>
        <w:t>Метод анализа функциональных точек ничего не говорит о трудоемкости разработки оцененного продукта. Вопрос решается просто, если компания разработчик имеет собственную статистику трудозатрат на реализацию функциональных точек. Если такой статистики нет, то для оценки трудоемкости и сроков проекта можно использовать метод COCOMO II.</w:t>
      </w:r>
    </w:p>
    <w:p w:rsidR="00BF263B" w:rsidRDefault="00BF263B" w:rsidP="00BF263B">
      <w:pPr>
        <w:pStyle w:val="12"/>
      </w:pPr>
      <w:bookmarkStart w:id="6" w:name="_Toc477609720"/>
      <w:r w:rsidRPr="00E43064">
        <w:t>Размер программного продукта</w:t>
      </w:r>
      <w:r>
        <w:t xml:space="preserve"> AFP (</w:t>
      </w:r>
      <w:proofErr w:type="gramStart"/>
      <w:r>
        <w:t xml:space="preserve">LOC) </w:t>
      </w:r>
      <w:r w:rsidRPr="00E43064">
        <w:t xml:space="preserve"> может</w:t>
      </w:r>
      <w:proofErr w:type="gramEnd"/>
      <w:r w:rsidRPr="00E43064">
        <w:t xml:space="preserve"> быть посчитан с помощью умножения количества функциональных точек на экспертную оценку количества строк, необходимых для реализации одной</w:t>
      </w:r>
      <w:r>
        <w:t xml:space="preserve"> точки на языке </w:t>
      </w:r>
      <w:r>
        <w:rPr>
          <w:lang w:val="en-US"/>
        </w:rPr>
        <w:t>JavaScript</w:t>
      </w:r>
      <w:r>
        <w:t xml:space="preserve"> (Формула 3.3). </w:t>
      </w:r>
      <w:r w:rsidRPr="00E43064">
        <w:t xml:space="preserve">Возьмем оценку равную </w:t>
      </w:r>
      <w:r>
        <w:rPr>
          <w:lang w:val="en-US"/>
        </w:rPr>
        <w:t>44</w:t>
      </w:r>
      <w:r w:rsidRPr="00E43064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4"/>
      </w:tblGrid>
      <w:tr w:rsidR="00BF263B" w:rsidTr="00420A13">
        <w:tc>
          <w:tcPr>
            <w:tcW w:w="8541" w:type="dxa"/>
          </w:tcPr>
          <w:p w:rsidR="00BF263B" w:rsidRPr="008E2949" w:rsidRDefault="00BF263B" w:rsidP="00420A13">
            <w:pPr>
              <w:pStyle w:val="12"/>
              <w:jc w:val="center"/>
              <w:rPr>
                <w:iCs/>
              </w:rPr>
            </w:pPr>
            <w:r>
              <w:t>AFP (LOC) = AFP * LOC,</w:t>
            </w:r>
          </w:p>
        </w:tc>
        <w:tc>
          <w:tcPr>
            <w:tcW w:w="814" w:type="dxa"/>
          </w:tcPr>
          <w:p w:rsidR="00BF263B" w:rsidRDefault="00BF263B" w:rsidP="00420A13">
            <w:pPr>
              <w:pStyle w:val="12"/>
              <w:ind w:firstLine="0"/>
              <w:rPr>
                <w:iCs/>
              </w:rPr>
            </w:pPr>
            <w:r w:rsidRPr="008E2949">
              <w:rPr>
                <w:iCs/>
              </w:rPr>
              <w:t>(</w:t>
            </w:r>
            <w:r>
              <w:rPr>
                <w:iCs/>
              </w:rPr>
              <w:t>3.3</w:t>
            </w:r>
            <w:r w:rsidRPr="008E2949">
              <w:rPr>
                <w:iCs/>
              </w:rPr>
              <w:t>)</w:t>
            </w:r>
          </w:p>
          <w:p w:rsidR="00BF263B" w:rsidRPr="008E2949" w:rsidRDefault="00BF263B" w:rsidP="00420A13">
            <w:pPr>
              <w:pStyle w:val="12"/>
              <w:ind w:firstLine="0"/>
              <w:rPr>
                <w:iCs/>
              </w:rPr>
            </w:pPr>
          </w:p>
        </w:tc>
      </w:tr>
    </w:tbl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</w:rPr>
        <w:t>где LOC – среднее количество операторов конкретного языка программирования, требующегося для реализации одной функциональной точки.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  <w:lang w:val="en-US"/>
        </w:rPr>
        <w:t>AFP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LOC</w:t>
      </w:r>
      <w:r>
        <w:rPr>
          <w:sz w:val="28"/>
          <w:szCs w:val="28"/>
        </w:rPr>
        <w:t xml:space="preserve">) = </w:t>
      </w:r>
      <w:r w:rsidRPr="005E4AD9">
        <w:rPr>
          <w:sz w:val="28"/>
          <w:szCs w:val="28"/>
        </w:rPr>
        <w:t>3158</w:t>
      </w:r>
      <w:r>
        <w:rPr>
          <w:sz w:val="28"/>
          <w:szCs w:val="28"/>
        </w:rPr>
        <w:t xml:space="preserve"> строки.</w:t>
      </w:r>
    </w:p>
    <w:p w:rsidR="00BF263B" w:rsidRDefault="00BF263B" w:rsidP="00BF26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Базовое уравнение COCOMO для расчета трудоемкости ИТ проекта следующее (формула 3.4):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4"/>
      </w:tblGrid>
      <w:tr w:rsidR="00BF263B" w:rsidTr="00420A13">
        <w:tc>
          <w:tcPr>
            <w:tcW w:w="8755" w:type="dxa"/>
          </w:tcPr>
          <w:p w:rsidR="00BF263B" w:rsidRPr="008E2949" w:rsidRDefault="00BF263B" w:rsidP="00420A13">
            <w:pPr>
              <w:pStyle w:val="12"/>
              <w:jc w:val="center"/>
              <w:rPr>
                <w:iCs/>
              </w:rPr>
            </w:pPr>
            <w:r>
              <w:t>Т = А * AFP (KLOC)^В,</w:t>
            </w:r>
          </w:p>
        </w:tc>
        <w:tc>
          <w:tcPr>
            <w:tcW w:w="816" w:type="dxa"/>
          </w:tcPr>
          <w:p w:rsidR="00BF263B" w:rsidRPr="008E2949" w:rsidRDefault="00BF263B" w:rsidP="00420A13">
            <w:pPr>
              <w:pStyle w:val="12"/>
              <w:ind w:firstLine="0"/>
              <w:rPr>
                <w:iCs/>
              </w:rPr>
            </w:pPr>
            <w:r w:rsidRPr="008E2949">
              <w:rPr>
                <w:iCs/>
              </w:rPr>
              <w:t>(</w:t>
            </w:r>
            <w:r>
              <w:rPr>
                <w:iCs/>
              </w:rPr>
              <w:t>3.4</w:t>
            </w:r>
            <w:r w:rsidRPr="008E2949">
              <w:rPr>
                <w:iCs/>
              </w:rPr>
              <w:t>)</w:t>
            </w:r>
          </w:p>
        </w:tc>
      </w:tr>
    </w:tbl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</w:rPr>
        <w:t>где T – трудозатраты, выраженные в человеко-месяцах; AFP (KLOC) – размерность программной системы, выраженная в тысячах строках кода.</w:t>
      </w:r>
    </w:p>
    <w:p w:rsidR="00BF263B" w:rsidRDefault="00BF263B" w:rsidP="00BF26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Коэффициенты А,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С,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определяются по таблице 3.10.</w:t>
      </w:r>
    </w:p>
    <w:p w:rsidR="00BF263B" w:rsidRPr="001B6F5D" w:rsidRDefault="00BF263B" w:rsidP="00BF263B">
      <w:pPr>
        <w:spacing w:line="360" w:lineRule="auto"/>
        <w:ind w:firstLine="709"/>
        <w:rPr>
          <w:sz w:val="28"/>
          <w:szCs w:val="28"/>
        </w:rPr>
      </w:pPr>
      <w:r w:rsidRPr="001B6F5D">
        <w:rPr>
          <w:sz w:val="28"/>
          <w:szCs w:val="28"/>
        </w:rPr>
        <w:t xml:space="preserve">Таблица 3.10 – Коэффициенты модели </w:t>
      </w:r>
      <w:r w:rsidRPr="001B6F5D">
        <w:rPr>
          <w:sz w:val="28"/>
          <w:szCs w:val="28"/>
          <w:lang w:val="en-US"/>
        </w:rPr>
        <w:t>COCOMO</w:t>
      </w:r>
      <w:r w:rsidRPr="001B6F5D">
        <w:rPr>
          <w:sz w:val="28"/>
          <w:szCs w:val="28"/>
        </w:rPr>
        <w:t xml:space="preserve"> базового уровня</w:t>
      </w:r>
    </w:p>
    <w:tbl>
      <w:tblPr>
        <w:tblW w:w="4943" w:type="pc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368"/>
        <w:gridCol w:w="1608"/>
        <w:gridCol w:w="1633"/>
        <w:gridCol w:w="1626"/>
        <w:gridCol w:w="2003"/>
      </w:tblGrid>
      <w:tr w:rsidR="00BF263B" w:rsidRPr="001B6F5D" w:rsidTr="00420A13">
        <w:tc>
          <w:tcPr>
            <w:tcW w:w="2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lastRenderedPageBreak/>
              <w:t>Тип программной системы</w:t>
            </w:r>
          </w:p>
        </w:tc>
        <w:tc>
          <w:tcPr>
            <w:tcW w:w="71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  <w:lang w:val="en-US"/>
              </w:rPr>
              <w:t>COCOMO</w:t>
            </w:r>
          </w:p>
        </w:tc>
      </w:tr>
      <w:tr w:rsidR="00BF263B" w:rsidRPr="001B6F5D" w:rsidTr="00420A13">
        <w:tc>
          <w:tcPr>
            <w:tcW w:w="2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А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В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  <w:lang w:val="en-US"/>
              </w:rPr>
              <w:t>D</w:t>
            </w:r>
          </w:p>
        </w:tc>
      </w:tr>
      <w:tr w:rsidR="00BF263B" w:rsidRPr="001B6F5D" w:rsidTr="00420A13">
        <w:tc>
          <w:tcPr>
            <w:tcW w:w="2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Встроенный - комплексные программные системы АСУ &gt;300 KLOC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3,6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1,2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2,5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0,32</w:t>
            </w:r>
          </w:p>
        </w:tc>
      </w:tr>
      <w:tr w:rsidR="00BF263B" w:rsidRPr="001B6F5D" w:rsidTr="00420A13">
        <w:tc>
          <w:tcPr>
            <w:tcW w:w="2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proofErr w:type="spellStart"/>
            <w:r w:rsidRPr="001B6F5D">
              <w:rPr>
                <w:sz w:val="28"/>
                <w:szCs w:val="28"/>
              </w:rPr>
              <w:t>Полуразделенный</w:t>
            </w:r>
            <w:proofErr w:type="spellEnd"/>
            <w:r w:rsidRPr="001B6F5D">
              <w:rPr>
                <w:sz w:val="28"/>
                <w:szCs w:val="28"/>
              </w:rPr>
              <w:t xml:space="preserve"> –  программно-информационные системы</w:t>
            </w:r>
          </w:p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 xml:space="preserve">50-300 </w:t>
            </w:r>
            <w:r w:rsidRPr="001B6F5D">
              <w:rPr>
                <w:sz w:val="28"/>
                <w:szCs w:val="28"/>
                <w:lang w:val="en-US"/>
              </w:rPr>
              <w:t>KLOC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3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1,12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2,5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0,35</w:t>
            </w:r>
          </w:p>
        </w:tc>
      </w:tr>
      <w:tr w:rsidR="00BF263B" w:rsidRPr="001B6F5D" w:rsidTr="00420A13">
        <w:tc>
          <w:tcPr>
            <w:tcW w:w="2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Органический – пакеты прикладных программ</w:t>
            </w:r>
          </w:p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 xml:space="preserve">2-50 </w:t>
            </w:r>
            <w:r w:rsidRPr="001B6F5D">
              <w:rPr>
                <w:sz w:val="28"/>
                <w:szCs w:val="28"/>
                <w:lang w:val="en-US"/>
              </w:rPr>
              <w:t>KLOC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2,4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1,05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2,5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1B6F5D" w:rsidRDefault="00BF263B" w:rsidP="00420A13">
            <w:pPr>
              <w:jc w:val="center"/>
              <w:rPr>
                <w:sz w:val="28"/>
                <w:szCs w:val="28"/>
              </w:rPr>
            </w:pPr>
            <w:r w:rsidRPr="001B6F5D">
              <w:rPr>
                <w:sz w:val="28"/>
                <w:szCs w:val="28"/>
              </w:rPr>
              <w:t>0,38</w:t>
            </w:r>
          </w:p>
        </w:tc>
      </w:tr>
    </w:tbl>
    <w:p w:rsidR="00BF263B" w:rsidRDefault="00BF263B" w:rsidP="00BF263B">
      <w:pPr>
        <w:spacing w:before="240" w:line="360" w:lineRule="auto"/>
        <w:ind w:firstLine="709"/>
        <w:jc w:val="both"/>
      </w:pPr>
      <w:r>
        <w:rPr>
          <w:sz w:val="28"/>
          <w:szCs w:val="28"/>
        </w:rPr>
        <w:t xml:space="preserve">Разрабатываемый модуль относится к типу органический. 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</w:rPr>
        <w:t>Трудоемкость равна: Т = 2,4*</w:t>
      </w:r>
      <w:r w:rsidRPr="00DD6BCA">
        <w:rPr>
          <w:sz w:val="28"/>
          <w:szCs w:val="28"/>
        </w:rPr>
        <w:t>3</w:t>
      </w:r>
      <w:r w:rsidRPr="00016780">
        <w:rPr>
          <w:sz w:val="28"/>
          <w:szCs w:val="28"/>
        </w:rPr>
        <w:t>.71</w:t>
      </w:r>
      <w:r>
        <w:rPr>
          <w:sz w:val="28"/>
          <w:szCs w:val="28"/>
        </w:rPr>
        <w:t xml:space="preserve">^1,05 = </w:t>
      </w:r>
      <w:bookmarkStart w:id="7" w:name="__DdeLink__16784_482342858"/>
      <w:r>
        <w:rPr>
          <w:sz w:val="28"/>
          <w:szCs w:val="28"/>
        </w:rPr>
        <w:t>14.71 человеко-месяцев.</w:t>
      </w:r>
      <w:bookmarkEnd w:id="7"/>
      <w:r>
        <w:rPr>
          <w:sz w:val="28"/>
          <w:szCs w:val="28"/>
        </w:rPr>
        <w:t xml:space="preserve"> </w:t>
      </w:r>
    </w:p>
    <w:p w:rsidR="00BF263B" w:rsidRDefault="00BF263B" w:rsidP="00BF26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разработки и длительность проекта рассчитывается по формуле</w:t>
      </w:r>
      <w:r w:rsidRPr="001B6F5D">
        <w:rPr>
          <w:sz w:val="28"/>
          <w:szCs w:val="28"/>
        </w:rPr>
        <w:t xml:space="preserve"> 3.5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4"/>
      </w:tblGrid>
      <w:tr w:rsidR="00BF263B" w:rsidTr="00420A13">
        <w:tc>
          <w:tcPr>
            <w:tcW w:w="8755" w:type="dxa"/>
          </w:tcPr>
          <w:p w:rsidR="00BF263B" w:rsidRPr="008E2949" w:rsidRDefault="00BF263B" w:rsidP="00420A13">
            <w:pPr>
              <w:pStyle w:val="12"/>
              <w:jc w:val="center"/>
              <w:rPr>
                <w:iCs/>
              </w:rPr>
            </w:pPr>
            <m:oMath>
              <m:r>
                <w:rPr>
                  <w:rFonts w:ascii="Cambria Math" w:hAnsi="Cambria Math"/>
                  <w:lang w:val="en-US"/>
                </w:rPr>
                <m:t>TDEV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+0.2*0.01*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SCED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t>(мес.)</w:t>
            </w:r>
          </w:p>
        </w:tc>
        <w:tc>
          <w:tcPr>
            <w:tcW w:w="816" w:type="dxa"/>
          </w:tcPr>
          <w:p w:rsidR="00BF263B" w:rsidRDefault="00BF263B" w:rsidP="00420A13">
            <w:pPr>
              <w:pStyle w:val="12"/>
              <w:ind w:firstLine="0"/>
              <w:rPr>
                <w:iCs/>
              </w:rPr>
            </w:pPr>
            <w:r w:rsidRPr="008E2949">
              <w:rPr>
                <w:iCs/>
              </w:rPr>
              <w:t>(</w:t>
            </w:r>
            <w:r>
              <w:rPr>
                <w:iCs/>
              </w:rPr>
              <w:t>3.5</w:t>
            </w:r>
            <w:r w:rsidRPr="008E2949">
              <w:rPr>
                <w:iCs/>
              </w:rPr>
              <w:t>)</w:t>
            </w:r>
          </w:p>
          <w:p w:rsidR="00BF263B" w:rsidRPr="008E2949" w:rsidRDefault="00BF263B" w:rsidP="00420A13">
            <w:pPr>
              <w:pStyle w:val="12"/>
              <w:ind w:firstLine="0"/>
              <w:rPr>
                <w:iCs/>
              </w:rPr>
            </w:pPr>
          </w:p>
        </w:tc>
      </w:tr>
    </w:tbl>
    <w:p w:rsidR="00BF263B" w:rsidRDefault="00BF263B" w:rsidP="00BF26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CD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016780">
        <w:rPr>
          <w:sz w:val="28"/>
          <w:szCs w:val="28"/>
        </w:rPr>
        <w:t>3.67</w:t>
      </w:r>
      <w:r>
        <w:rPr>
          <w:sz w:val="28"/>
          <w:szCs w:val="28"/>
        </w:rPr>
        <w:t xml:space="preserve"> * </w:t>
      </w:r>
      <w:r w:rsidRPr="00A01DFE">
        <w:rPr>
          <w:sz w:val="28"/>
          <w:szCs w:val="28"/>
        </w:rPr>
        <w:t>10.29</w:t>
      </w:r>
      <w:proofErr w:type="gramStart"/>
      <w:r>
        <w:rPr>
          <w:sz w:val="28"/>
          <w:szCs w:val="28"/>
        </w:rPr>
        <w:t>^(</w:t>
      </w:r>
      <w:proofErr w:type="gramEnd"/>
      <w:r w:rsidRPr="00A01DFE">
        <w:rPr>
          <w:sz w:val="28"/>
          <w:szCs w:val="28"/>
        </w:rPr>
        <w:t>0.28+0.01*13.58</w:t>
      </w:r>
      <w:r>
        <w:rPr>
          <w:sz w:val="28"/>
          <w:szCs w:val="28"/>
        </w:rPr>
        <w:t>)</w:t>
      </w:r>
      <w:r w:rsidRPr="00A01DFE">
        <w:rPr>
          <w:sz w:val="28"/>
          <w:szCs w:val="28"/>
        </w:rPr>
        <w:t>*0.</w:t>
      </w:r>
      <w:r>
        <w:rPr>
          <w:sz w:val="28"/>
          <w:szCs w:val="28"/>
        </w:rPr>
        <w:t xml:space="preserve">= 5,63 мес. </w:t>
      </w:r>
    </w:p>
    <w:p w:rsidR="00BF263B" w:rsidRDefault="00BF263B" w:rsidP="00BF263B">
      <w:pPr>
        <w:pStyle w:val="12"/>
        <w:rPr>
          <w:rFonts w:eastAsiaTheme="minorHAnsi"/>
          <w:lang w:eastAsia="en-US"/>
        </w:rPr>
      </w:pPr>
    </w:p>
    <w:p w:rsidR="00BF263B" w:rsidRPr="00A1761D" w:rsidRDefault="00BF263B" w:rsidP="00BF263B">
      <w:pPr>
        <w:pStyle w:val="2"/>
        <w:numPr>
          <w:ilvl w:val="1"/>
          <w:numId w:val="7"/>
        </w:numPr>
        <w:spacing w:after="200"/>
        <w:rPr>
          <w:color w:val="auto"/>
        </w:rPr>
      </w:pPr>
      <w:bookmarkStart w:id="8" w:name="_Toc510466441"/>
      <w:bookmarkStart w:id="9" w:name="_Toc4689149"/>
      <w:bookmarkStart w:id="10" w:name="_Toc11160927"/>
      <w:r>
        <w:rPr>
          <w:color w:val="auto"/>
        </w:rPr>
        <w:t xml:space="preserve"> </w:t>
      </w:r>
      <w:r w:rsidRPr="00A1761D">
        <w:rPr>
          <w:color w:val="auto"/>
        </w:rPr>
        <w:t>Оценка совокупной стоимости владения</w:t>
      </w:r>
      <w:bookmarkEnd w:id="6"/>
      <w:bookmarkEnd w:id="8"/>
      <w:bookmarkEnd w:id="9"/>
      <w:bookmarkEnd w:id="10"/>
    </w:p>
    <w:p w:rsidR="00BF263B" w:rsidRDefault="00BF263B" w:rsidP="00BF263B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477609721"/>
      <w:r w:rsidRPr="00DD6BCA">
        <w:rPr>
          <w:sz w:val="28"/>
          <w:szCs w:val="28"/>
        </w:rPr>
        <w:t xml:space="preserve">Совокупная стоимость владения включает в себя совокупные затраты на кодирование, затраты на новое оборудование для поддержания системы, а также затраты на обучение сотрудников работе в новой информационной системе. 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</w:rPr>
        <w:t>Первоначально подсчитаем затраты на оплату машинного времени. В эту статью затрат входят амортизация ЭВМ и оборудования, затраты на электроэнергию, которые зависят от часов работы за компьютером, себестоимости машино-часа работы ЭВМ.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>Для разработки информационной системы использовался стационарный ПК. Его среднее потребление энергии составляет 0,5 кВт/ч. Средняя стоимость 1 кВт/час электроэнергии – 3,49 рублей.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Стоимость часа работы за компьютером равна: </w:t>
      </w:r>
    </w:p>
    <w:p w:rsidR="00BF263B" w:rsidRDefault="00BF263B" w:rsidP="00BF263B">
      <w:pPr>
        <w:spacing w:line="360" w:lineRule="auto"/>
        <w:ind w:firstLine="709"/>
        <w:jc w:val="both"/>
      </w:pPr>
      <w:proofErr w:type="spellStart"/>
      <w:r>
        <w:rPr>
          <w:sz w:val="28"/>
          <w:szCs w:val="28"/>
        </w:rPr>
        <w:t>Смч</w:t>
      </w:r>
      <w:proofErr w:type="spellEnd"/>
      <w:r>
        <w:rPr>
          <w:sz w:val="28"/>
          <w:szCs w:val="28"/>
        </w:rPr>
        <w:t xml:space="preserve"> = 0,5 * 3,49 = 1,75 руб./час.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Рассчитаем время работы ЭВМ, исходя из календарного планирования умножим длительность проекта на 8-ми часовой рабочий день: </w:t>
      </w:r>
    </w:p>
    <w:p w:rsidR="00BF263B" w:rsidRDefault="00BF263B" w:rsidP="00BF263B">
      <w:pPr>
        <w:spacing w:line="360" w:lineRule="auto"/>
        <w:ind w:firstLine="709"/>
        <w:jc w:val="both"/>
      </w:pPr>
      <w:proofErr w:type="spellStart"/>
      <w:r>
        <w:rPr>
          <w:sz w:val="28"/>
          <w:szCs w:val="28"/>
        </w:rPr>
        <w:t>Тэвм</w:t>
      </w:r>
      <w:proofErr w:type="spellEnd"/>
      <w:r>
        <w:rPr>
          <w:sz w:val="28"/>
          <w:szCs w:val="28"/>
        </w:rPr>
        <w:t xml:space="preserve"> = 44 * 8 = 352 часов.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Найдем себестоимость энергии: </w:t>
      </w:r>
    </w:p>
    <w:p w:rsidR="00BF263B" w:rsidRDefault="00BF263B" w:rsidP="00BF263B">
      <w:pPr>
        <w:spacing w:line="360" w:lineRule="auto"/>
        <w:ind w:firstLine="709"/>
        <w:jc w:val="both"/>
      </w:pPr>
      <w:proofErr w:type="spellStart"/>
      <w:r>
        <w:rPr>
          <w:sz w:val="28"/>
          <w:szCs w:val="28"/>
        </w:rPr>
        <w:t>Сэл</w:t>
      </w:r>
      <w:proofErr w:type="spellEnd"/>
      <w:r>
        <w:rPr>
          <w:sz w:val="28"/>
          <w:szCs w:val="28"/>
        </w:rPr>
        <w:t xml:space="preserve"> = 352 * 1,75 = 616 рубля.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</w:rPr>
        <w:t>Затраты на оплату труда включают выплаты заработной платы за фактически выполненную работу, рассчитанные исходя из сдельных расценок, тарифных ставок, должностных окладов: выплаты стимулирующего характера, выплаты компенсирующего характера, связанные с режимом работы и условиями труда, оплата очередных и дополнительных отпусков и другие виды доплат, предусмотренные законом и включенные в фонд оплаты труда.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</w:rPr>
        <w:t>Для расчета затрат на оплату труда следует взять за основу оклад инженера-программиста без опыта работы, равный 20 000 руб./мес.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</w:rPr>
        <w:t>Вычислим общий фонд заработной платы на реализацию проекта. Для этого умножим фонд оплаты труда на длительность проекта: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2</w:t>
      </w:r>
      <w:r w:rsidRPr="004A2B78">
        <w:rPr>
          <w:sz w:val="28"/>
          <w:szCs w:val="28"/>
        </w:rPr>
        <w:t>8</w:t>
      </w:r>
      <w:r>
        <w:rPr>
          <w:sz w:val="28"/>
          <w:szCs w:val="28"/>
        </w:rPr>
        <w:t xml:space="preserve"> 000 * 5,5 = 154 000 руб.</w:t>
      </w:r>
    </w:p>
    <w:p w:rsidR="00BF263B" w:rsidRDefault="00BF263B" w:rsidP="00BF263B">
      <w:pPr>
        <w:spacing w:line="360" w:lineRule="auto"/>
        <w:ind w:firstLine="709"/>
        <w:jc w:val="both"/>
      </w:pPr>
      <w:r>
        <w:rPr>
          <w:rFonts w:eastAsiaTheme="minorEastAsia"/>
          <w:sz w:val="28"/>
          <w:szCs w:val="28"/>
        </w:rPr>
        <w:t>Страховые взносы в ПФР, ФСС и ФФОМС составляют 30% от ФОТ.</w:t>
      </w:r>
    </w:p>
    <w:p w:rsidR="00BF263B" w:rsidRDefault="00BF263B" w:rsidP="00BF263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необходимо составить смету затрат и определить договорную стоимость ИС. Единовременные затраты отсутствуют, т.к. закупать дополнительное оборудование для создания ИС у завода нет необходимости. Смета затрат на разработку системы представлена в таблице 3.11.</w:t>
      </w:r>
    </w:p>
    <w:p w:rsidR="00BF263B" w:rsidRDefault="00BF263B" w:rsidP="00BF263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BF263B" w:rsidRPr="00ED1588" w:rsidRDefault="00BF263B" w:rsidP="00BF263B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ED1588">
        <w:rPr>
          <w:rFonts w:eastAsiaTheme="minorEastAsia"/>
          <w:sz w:val="28"/>
          <w:szCs w:val="28"/>
        </w:rPr>
        <w:t xml:space="preserve">Таблица </w:t>
      </w:r>
      <w:r>
        <w:rPr>
          <w:rFonts w:eastAsiaTheme="minorEastAsia"/>
          <w:sz w:val="28"/>
          <w:szCs w:val="28"/>
        </w:rPr>
        <w:t>3.11</w:t>
      </w:r>
      <w:r w:rsidRPr="00ED1588">
        <w:rPr>
          <w:rFonts w:eastAsiaTheme="minorEastAsia"/>
          <w:sz w:val="28"/>
          <w:szCs w:val="28"/>
        </w:rPr>
        <w:t xml:space="preserve"> – Смета затрат на разработку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823"/>
        <w:gridCol w:w="2522"/>
      </w:tblGrid>
      <w:tr w:rsidR="00BF263B" w:rsidRPr="00ED1588" w:rsidTr="00420A13">
        <w:trPr>
          <w:jc w:val="center"/>
        </w:trPr>
        <w:tc>
          <w:tcPr>
            <w:tcW w:w="6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F263B" w:rsidRPr="00ED1588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D1588">
              <w:rPr>
                <w:rFonts w:eastAsiaTheme="minorEastAsia"/>
                <w:sz w:val="28"/>
                <w:szCs w:val="28"/>
              </w:rPr>
              <w:t>Статья затрат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F263B" w:rsidRPr="00ED1588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D1588">
              <w:rPr>
                <w:rFonts w:eastAsiaTheme="minorEastAsia"/>
                <w:sz w:val="28"/>
                <w:szCs w:val="28"/>
              </w:rPr>
              <w:t>Сумма, руб.</w:t>
            </w:r>
          </w:p>
        </w:tc>
      </w:tr>
      <w:tr w:rsidR="00BF263B" w:rsidRPr="00ED1588" w:rsidTr="00420A13">
        <w:trPr>
          <w:jc w:val="center"/>
        </w:trPr>
        <w:tc>
          <w:tcPr>
            <w:tcW w:w="6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F263B" w:rsidRPr="00ED1588" w:rsidRDefault="00BF263B" w:rsidP="00420A13">
            <w:pPr>
              <w:spacing w:line="360" w:lineRule="auto"/>
              <w:rPr>
                <w:sz w:val="28"/>
                <w:szCs w:val="28"/>
              </w:rPr>
            </w:pPr>
            <w:r w:rsidRPr="00ED1588">
              <w:rPr>
                <w:rFonts w:eastAsiaTheme="minorEastAsia"/>
                <w:sz w:val="28"/>
                <w:szCs w:val="28"/>
              </w:rPr>
              <w:lastRenderedPageBreak/>
              <w:t>Материальные затраты</w:t>
            </w:r>
            <w:r>
              <w:rPr>
                <w:rFonts w:eastAsiaTheme="minorEastAsia"/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электроэнергия)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F263B" w:rsidRPr="00ED1588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616</w:t>
            </w:r>
          </w:p>
        </w:tc>
      </w:tr>
      <w:tr w:rsidR="00BF263B" w:rsidRPr="00ED1588" w:rsidTr="00420A13">
        <w:trPr>
          <w:jc w:val="center"/>
        </w:trPr>
        <w:tc>
          <w:tcPr>
            <w:tcW w:w="6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F263B" w:rsidRPr="00ED1588" w:rsidRDefault="00BF263B" w:rsidP="00420A13">
            <w:pPr>
              <w:spacing w:line="360" w:lineRule="auto"/>
              <w:rPr>
                <w:sz w:val="28"/>
                <w:szCs w:val="28"/>
              </w:rPr>
            </w:pPr>
            <w:r w:rsidRPr="00ED1588">
              <w:rPr>
                <w:rFonts w:eastAsiaTheme="minorEastAsia"/>
                <w:sz w:val="28"/>
                <w:szCs w:val="28"/>
              </w:rPr>
              <w:t>Оплата труда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F263B" w:rsidRPr="00ED1588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54</w:t>
            </w:r>
            <w:r>
              <w:rPr>
                <w:rFonts w:eastAsiaTheme="minorEastAsia"/>
                <w:sz w:val="28"/>
                <w:szCs w:val="28"/>
              </w:rPr>
              <w:t xml:space="preserve"> 000 </w:t>
            </w:r>
          </w:p>
        </w:tc>
      </w:tr>
      <w:tr w:rsidR="00BF263B" w:rsidRPr="00ED1588" w:rsidTr="00420A13">
        <w:trPr>
          <w:jc w:val="center"/>
        </w:trPr>
        <w:tc>
          <w:tcPr>
            <w:tcW w:w="6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F263B" w:rsidRPr="00ED1588" w:rsidRDefault="00BF263B" w:rsidP="00420A13">
            <w:pPr>
              <w:spacing w:line="360" w:lineRule="auto"/>
              <w:rPr>
                <w:sz w:val="28"/>
                <w:szCs w:val="28"/>
              </w:rPr>
            </w:pPr>
            <w:r w:rsidRPr="00A462BC">
              <w:rPr>
                <w:sz w:val="28"/>
                <w:szCs w:val="28"/>
              </w:rPr>
              <w:t>Отчисления на социальное страхование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BF263B" w:rsidRPr="00ED1588" w:rsidRDefault="00BF263B" w:rsidP="00420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33 000</w:t>
            </w:r>
          </w:p>
        </w:tc>
      </w:tr>
      <w:tr w:rsidR="00BF263B" w:rsidRPr="00ED1588" w:rsidTr="00420A13">
        <w:trPr>
          <w:trHeight w:val="398"/>
          <w:jc w:val="center"/>
        </w:trPr>
        <w:tc>
          <w:tcPr>
            <w:tcW w:w="6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F263B" w:rsidRPr="00ED1588" w:rsidRDefault="00BF263B" w:rsidP="00420A13">
            <w:pPr>
              <w:spacing w:line="360" w:lineRule="auto"/>
              <w:rPr>
                <w:sz w:val="28"/>
                <w:szCs w:val="28"/>
              </w:rPr>
            </w:pPr>
            <w:r w:rsidRPr="00ED1588">
              <w:rPr>
                <w:rFonts w:eastAsiaTheme="minorEastAsia"/>
                <w:sz w:val="28"/>
                <w:szCs w:val="28"/>
              </w:rPr>
              <w:t>Итого</w:t>
            </w:r>
          </w:p>
        </w:tc>
        <w:tc>
          <w:tcPr>
            <w:tcW w:w="2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F263B" w:rsidRPr="00A01DFE" w:rsidRDefault="00BF263B" w:rsidP="00420A1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187 616</w:t>
            </w:r>
          </w:p>
        </w:tc>
      </w:tr>
    </w:tbl>
    <w:p w:rsidR="00BF263B" w:rsidRDefault="00BF263B" w:rsidP="00BF263B">
      <w:pPr>
        <w:pStyle w:val="12"/>
        <w:spacing w:before="240" w:line="384" w:lineRule="auto"/>
      </w:pPr>
      <w:r>
        <w:t xml:space="preserve">Таким образом, общие затраты на разработку системы </w:t>
      </w:r>
      <w:r>
        <w:rPr>
          <w:rFonts w:eastAsiaTheme="minorEastAsia"/>
        </w:rPr>
        <w:t xml:space="preserve">составили </w:t>
      </w:r>
      <w:r w:rsidRPr="00A01DFE">
        <w:rPr>
          <w:rFonts w:eastAsiaTheme="minorEastAsia"/>
        </w:rPr>
        <w:t>18</w:t>
      </w:r>
      <w:r>
        <w:rPr>
          <w:rFonts w:eastAsiaTheme="minorEastAsia"/>
        </w:rPr>
        <w:t xml:space="preserve">7 </w:t>
      </w:r>
      <w:r w:rsidRPr="00A01DFE">
        <w:rPr>
          <w:rFonts w:eastAsiaTheme="minorEastAsia"/>
        </w:rPr>
        <w:t>616</w:t>
      </w:r>
      <w:r>
        <w:rPr>
          <w:rFonts w:eastAsiaTheme="minorEastAsia"/>
        </w:rPr>
        <w:t xml:space="preserve"> руб., количество разработчиков – 1 программист, сроки разработки проекта – 5,5 месяца.</w:t>
      </w:r>
    </w:p>
    <w:p w:rsidR="00BF263B" w:rsidRPr="00A1761D" w:rsidRDefault="00BF263B" w:rsidP="00BF263B">
      <w:pPr>
        <w:pStyle w:val="2"/>
        <w:spacing w:before="240" w:after="240"/>
        <w:rPr>
          <w:color w:val="auto"/>
        </w:rPr>
      </w:pPr>
      <w:bookmarkStart w:id="12" w:name="_Toc510552698"/>
      <w:bookmarkStart w:id="13" w:name="_Toc4689150"/>
      <w:bookmarkStart w:id="14" w:name="_Toc11160928"/>
      <w:bookmarkEnd w:id="11"/>
      <w:r w:rsidRPr="00A1761D">
        <w:rPr>
          <w:color w:val="auto"/>
        </w:rPr>
        <w:t>3.3 Анализ качественных и количественных факторов воздействия проекта на бизнес-архитектуру организации</w:t>
      </w:r>
      <w:bookmarkEnd w:id="12"/>
      <w:bookmarkEnd w:id="13"/>
      <w:bookmarkEnd w:id="14"/>
    </w:p>
    <w:p w:rsidR="00BF263B" w:rsidRDefault="00BF263B" w:rsidP="00BF263B">
      <w:pPr>
        <w:spacing w:line="384" w:lineRule="auto"/>
        <w:ind w:firstLine="709"/>
        <w:jc w:val="both"/>
      </w:pPr>
      <w:r>
        <w:rPr>
          <w:rFonts w:eastAsiaTheme="minorEastAsia"/>
          <w:sz w:val="28"/>
          <w:szCs w:val="28"/>
        </w:rPr>
        <w:t>Для определения экономической эффективности от внедрения проектируемого модуля будет использоваться метод, основанный на расчете трудовых и стоимостных затрат на выполнение функции управления при автоматизированной обработк</w:t>
      </w:r>
      <w:bookmarkStart w:id="15" w:name="_GoBack1"/>
      <w:bookmarkEnd w:id="15"/>
      <w:r>
        <w:rPr>
          <w:rFonts w:eastAsiaTheme="minorEastAsia"/>
          <w:sz w:val="28"/>
          <w:szCs w:val="28"/>
        </w:rPr>
        <w:t xml:space="preserve">е данных. </w:t>
      </w:r>
    </w:p>
    <w:p w:rsidR="00BF263B" w:rsidRPr="00572030" w:rsidRDefault="00BF263B" w:rsidP="00BF263B">
      <w:pPr>
        <w:pStyle w:val="12"/>
      </w:pPr>
      <w:r w:rsidRPr="00572030">
        <w:t xml:space="preserve">Экономическая эффективность позволяет выявить, насколько полезной будет система для предприятия, то есть можно будет судить о необходимости внедрения или отклонения информационной системы. </w:t>
      </w:r>
    </w:p>
    <w:p w:rsidR="00BF263B" w:rsidRPr="00572030" w:rsidRDefault="00BF263B" w:rsidP="00BF263B">
      <w:pPr>
        <w:pStyle w:val="12"/>
      </w:pPr>
      <w:r w:rsidRPr="00572030">
        <w:t xml:space="preserve">Рассчитаем эффективность внедрения проекта методом сопоставления данных базисного и отчетного периодов. Примем за базисный период данные до внедрения проекта, за отчетный – после внедрения автоматизированной системы. </w:t>
      </w:r>
    </w:p>
    <w:p w:rsidR="00BF263B" w:rsidRPr="00572030" w:rsidRDefault="00BF263B" w:rsidP="00BF263B">
      <w:pPr>
        <w:pStyle w:val="12"/>
      </w:pPr>
      <w:r>
        <w:t>Д</w:t>
      </w:r>
      <w:r w:rsidRPr="00572030">
        <w:t xml:space="preserve">ля выполнения процессов контроля </w:t>
      </w:r>
      <w:r>
        <w:t xml:space="preserve">и ведения проектов </w:t>
      </w:r>
      <w:r w:rsidRPr="00572030">
        <w:t>вручную требуются следующие трудозатраты:</w:t>
      </w:r>
    </w:p>
    <w:p w:rsidR="00BF263B" w:rsidRDefault="00BF263B" w:rsidP="00BF263B">
      <w:pPr>
        <w:pStyle w:val="12"/>
        <w:numPr>
          <w:ilvl w:val="0"/>
          <w:numId w:val="4"/>
        </w:numPr>
      </w:pPr>
      <w:r>
        <w:t>На сбор данных о пользователях</w:t>
      </w:r>
      <w:r w:rsidRPr="00572030">
        <w:t xml:space="preserve"> – </w:t>
      </w:r>
      <w:r>
        <w:t>2</w:t>
      </w:r>
      <w:r w:rsidRPr="00572030">
        <w:t xml:space="preserve"> человек и </w:t>
      </w:r>
      <w:r>
        <w:t>1</w:t>
      </w:r>
      <w:r w:rsidRPr="00572030">
        <w:t xml:space="preserve"> часа рабочего времени;</w:t>
      </w:r>
    </w:p>
    <w:p w:rsidR="00BF263B" w:rsidRDefault="00BF263B" w:rsidP="00BF263B">
      <w:pPr>
        <w:pStyle w:val="12"/>
        <w:numPr>
          <w:ilvl w:val="0"/>
          <w:numId w:val="4"/>
        </w:numPr>
      </w:pPr>
      <w:r w:rsidRPr="00572030">
        <w:t>На</w:t>
      </w:r>
      <w:r>
        <w:t xml:space="preserve"> перенос данных в </w:t>
      </w:r>
      <w:r>
        <w:rPr>
          <w:lang w:val="en-US"/>
        </w:rPr>
        <w:t>CRM</w:t>
      </w:r>
      <w:r w:rsidRPr="00572030">
        <w:t xml:space="preserve">– 1 человек и </w:t>
      </w:r>
      <w:r>
        <w:t>1</w:t>
      </w:r>
      <w:r w:rsidRPr="00572030">
        <w:t xml:space="preserve"> часа рабочего времени;</w:t>
      </w:r>
    </w:p>
    <w:p w:rsidR="00BF263B" w:rsidRDefault="00BF263B" w:rsidP="00BF263B">
      <w:pPr>
        <w:pStyle w:val="12"/>
        <w:numPr>
          <w:ilvl w:val="0"/>
          <w:numId w:val="4"/>
        </w:numPr>
      </w:pPr>
      <w:r>
        <w:t>На создание счетов на оплату</w:t>
      </w:r>
      <w:r w:rsidRPr="00572030">
        <w:t xml:space="preserve"> – 1 чело</w:t>
      </w:r>
      <w:r>
        <w:t>век и 0,5 часа рабочего времени.</w:t>
      </w:r>
    </w:p>
    <w:p w:rsidR="00BF263B" w:rsidRPr="00572030" w:rsidRDefault="00BF263B" w:rsidP="00BF263B">
      <w:pPr>
        <w:pStyle w:val="12"/>
      </w:pPr>
      <w:r w:rsidRPr="00572030">
        <w:lastRenderedPageBreak/>
        <w:t xml:space="preserve"> Исходя из этого, получаем, что трудоемкость выполнения всех процессов контроля составляет</w:t>
      </w:r>
      <w:r>
        <w:t xml:space="preserve"> 3,5 </w:t>
      </w:r>
      <w:r w:rsidRPr="00572030">
        <w:t>человека-часа.</w:t>
      </w:r>
    </w:p>
    <w:p w:rsidR="00BF263B" w:rsidRDefault="00BF263B" w:rsidP="00BF263B">
      <w:pPr>
        <w:pStyle w:val="12"/>
      </w:pPr>
      <w:r w:rsidRPr="00572030">
        <w:t xml:space="preserve">Определим трудозатраты после внедрения </w:t>
      </w:r>
      <w:r>
        <w:t>системы</w:t>
      </w:r>
      <w:r w:rsidRPr="00572030">
        <w:t>:</w:t>
      </w:r>
    </w:p>
    <w:p w:rsidR="00BF263B" w:rsidRDefault="00BF263B" w:rsidP="00BF263B">
      <w:pPr>
        <w:pStyle w:val="12"/>
        <w:numPr>
          <w:ilvl w:val="0"/>
          <w:numId w:val="4"/>
        </w:numPr>
      </w:pPr>
      <w:r>
        <w:t>На сбор данных о пользователях</w:t>
      </w:r>
      <w:r w:rsidRPr="00572030">
        <w:t xml:space="preserve"> – </w:t>
      </w:r>
      <w:r>
        <w:t>1</w:t>
      </w:r>
      <w:r w:rsidRPr="00572030">
        <w:t xml:space="preserve"> человек и </w:t>
      </w:r>
      <w:r>
        <w:t>0,5</w:t>
      </w:r>
      <w:r w:rsidRPr="00572030">
        <w:t xml:space="preserve"> часа рабочего времени;</w:t>
      </w:r>
    </w:p>
    <w:p w:rsidR="00BF263B" w:rsidRDefault="00BF263B" w:rsidP="00BF263B">
      <w:pPr>
        <w:pStyle w:val="12"/>
        <w:numPr>
          <w:ilvl w:val="0"/>
          <w:numId w:val="4"/>
        </w:numPr>
      </w:pPr>
      <w:r w:rsidRPr="00572030">
        <w:t>На</w:t>
      </w:r>
      <w:r>
        <w:t xml:space="preserve"> перенос данных в </w:t>
      </w:r>
      <w:r>
        <w:rPr>
          <w:lang w:val="en-US"/>
        </w:rPr>
        <w:t>CRM</w:t>
      </w:r>
      <w:r w:rsidRPr="00572030">
        <w:t xml:space="preserve">– </w:t>
      </w:r>
      <w:r>
        <w:t>0</w:t>
      </w:r>
      <w:r w:rsidRPr="00572030">
        <w:t xml:space="preserve"> человек и </w:t>
      </w:r>
      <w:r>
        <w:t>0</w:t>
      </w:r>
      <w:r w:rsidRPr="00572030">
        <w:t xml:space="preserve"> часа рабочего времени;</w:t>
      </w:r>
    </w:p>
    <w:p w:rsidR="00BF263B" w:rsidRDefault="00BF263B" w:rsidP="00BF263B">
      <w:pPr>
        <w:pStyle w:val="12"/>
        <w:numPr>
          <w:ilvl w:val="0"/>
          <w:numId w:val="4"/>
        </w:numPr>
      </w:pPr>
      <w:r>
        <w:t>На создание счетов на оплату</w:t>
      </w:r>
      <w:r w:rsidRPr="00572030">
        <w:t xml:space="preserve"> – 1 чело</w:t>
      </w:r>
      <w:r>
        <w:t>век и 0,1 часа рабочего времени.</w:t>
      </w:r>
    </w:p>
    <w:p w:rsidR="00BF263B" w:rsidRPr="00572030" w:rsidRDefault="00BF263B" w:rsidP="00BF263B">
      <w:pPr>
        <w:pStyle w:val="12"/>
      </w:pPr>
      <w:r w:rsidRPr="00572030">
        <w:t xml:space="preserve">Исходя из этого, получаем что трудозатраты сократятся на </w:t>
      </w:r>
      <w:r>
        <w:t>2,9</w:t>
      </w:r>
      <w:r w:rsidRPr="00572030">
        <w:t xml:space="preserve"> человеко-часа</w:t>
      </w:r>
      <w:r>
        <w:t>, то есть примерно на 82,87</w:t>
      </w:r>
      <w:r w:rsidRPr="00572030">
        <w:t xml:space="preserve">%. </w:t>
      </w:r>
    </w:p>
    <w:p w:rsidR="00BF263B" w:rsidRPr="00572030" w:rsidRDefault="00BF263B" w:rsidP="00BF263B">
      <w:pPr>
        <w:pStyle w:val="12"/>
      </w:pPr>
      <w:r w:rsidRPr="00572030">
        <w:t>Для того чтобы определить экономическую эффективность внедрения информационной системы, был использован метод, основанный на расчете трудовых и стоимостных затрат на выполнение функции управления при машинной обработке данных.</w:t>
      </w:r>
    </w:p>
    <w:p w:rsidR="00BF263B" w:rsidRPr="00572030" w:rsidRDefault="00BF263B" w:rsidP="00BF263B">
      <w:pPr>
        <w:pStyle w:val="12"/>
      </w:pPr>
      <w:r w:rsidRPr="00572030">
        <w:t>К трудовым показателям относятся:</w:t>
      </w:r>
    </w:p>
    <w:p w:rsidR="00BF263B" w:rsidRPr="00572030" w:rsidRDefault="00BF263B" w:rsidP="00BF263B">
      <w:pPr>
        <w:pStyle w:val="12"/>
        <w:numPr>
          <w:ilvl w:val="0"/>
          <w:numId w:val="3"/>
        </w:numPr>
      </w:pPr>
      <w:r w:rsidRPr="00572030">
        <w:t>абсолютное снижение трудовых затрат:</w:t>
      </w:r>
    </w:p>
    <w:p w:rsidR="00BF263B" w:rsidRPr="00572030" w:rsidRDefault="00BF263B" w:rsidP="00BF263B">
      <w:pPr>
        <w:pStyle w:val="12"/>
      </w:pPr>
      <m:oMath>
        <m:r>
          <m:rPr>
            <m:sty m:val="p"/>
          </m:rPr>
          <w:rPr>
            <w:rFonts w:ascii="Cambria Math" w:hAnsi="Cambria Math"/>
          </w:rPr>
          <m:t>∆Т=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72030">
        <w:t>;</w:t>
      </w:r>
    </w:p>
    <w:p w:rsidR="00BF263B" w:rsidRPr="00572030" w:rsidRDefault="00BF263B" w:rsidP="00BF263B">
      <w:pPr>
        <w:pStyle w:val="12"/>
      </w:pPr>
      <w:r w:rsidRPr="00572030">
        <w:t>где:</w:t>
      </w:r>
    </w:p>
    <w:p w:rsidR="00BF263B" w:rsidRPr="00572030" w:rsidRDefault="00BF263B" w:rsidP="00BF263B">
      <w:pPr>
        <w:pStyle w:val="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2030">
        <w:t xml:space="preserve"> – трудовые затраты на обработку информации до внедрения АИС;</w:t>
      </w:r>
    </w:p>
    <w:p w:rsidR="00BF263B" w:rsidRPr="00572030" w:rsidRDefault="00BF263B" w:rsidP="00BF263B">
      <w:pPr>
        <w:pStyle w:val="12"/>
      </w:pPr>
      <w:r w:rsidRPr="005720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72030">
        <w:t xml:space="preserve"> – трудовые затраты на обра</w:t>
      </w:r>
      <w:proofErr w:type="spellStart"/>
      <w:r w:rsidRPr="00572030">
        <w:t>ботку</w:t>
      </w:r>
      <w:proofErr w:type="spellEnd"/>
      <w:r w:rsidRPr="00572030">
        <w:t xml:space="preserve"> информации после внедрения АИС.</w:t>
      </w:r>
    </w:p>
    <w:p w:rsidR="00BF263B" w:rsidRPr="00572030" w:rsidRDefault="00BF263B" w:rsidP="00BF263B">
      <w:pPr>
        <w:pStyle w:val="12"/>
        <w:numPr>
          <w:ilvl w:val="0"/>
          <w:numId w:val="3"/>
        </w:numPr>
      </w:pPr>
      <w:r w:rsidRPr="00572030">
        <w:t>коэффициент относительного снижения трудовых затрат:</w:t>
      </w:r>
    </w:p>
    <w:p w:rsidR="00BF263B" w:rsidRPr="00572030" w:rsidRDefault="00BF263B" w:rsidP="00BF263B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∆Т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*100%</m:t>
        </m:r>
      </m:oMath>
      <w:r w:rsidRPr="00572030">
        <w:t>;</w:t>
      </w:r>
    </w:p>
    <w:p w:rsidR="00BF263B" w:rsidRPr="00572030" w:rsidRDefault="00BF263B" w:rsidP="00BF263B">
      <w:pPr>
        <w:pStyle w:val="12"/>
        <w:numPr>
          <w:ilvl w:val="0"/>
          <w:numId w:val="3"/>
        </w:numPr>
      </w:pPr>
      <w:r w:rsidRPr="00572030">
        <w:t>индекс снижения трудовых затрат, или повышение производительности труда:</w:t>
      </w:r>
    </w:p>
    <w:p w:rsidR="00BF263B" w:rsidRPr="00572030" w:rsidRDefault="00BF263B" w:rsidP="00BF263B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572030">
        <w:t>;</w:t>
      </w:r>
    </w:p>
    <w:p w:rsidR="00BF263B" w:rsidRPr="00572030" w:rsidRDefault="00BF263B" w:rsidP="00BF263B">
      <w:pPr>
        <w:pStyle w:val="12"/>
      </w:pPr>
      <w:r w:rsidRPr="00572030">
        <w:t xml:space="preserve">К стоимостным показателям относятся абсолютное снижение стоимостных затрат </w:t>
      </w:r>
      <m:oMath>
        <m:r>
          <w:rPr>
            <w:rFonts w:ascii="Cambria Math" w:hAnsi="Cambria Math"/>
          </w:rPr>
          <m:t>(∆С)</m:t>
        </m:r>
      </m:oMath>
      <w:r w:rsidRPr="00572030">
        <w:t>, коэффициент относительного снижения стоимостных затрат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)</m:t>
        </m:r>
      </m:oMath>
      <w:r w:rsidRPr="00572030">
        <w:t xml:space="preserve">, индекс снижения стоимостных затрат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)</m:t>
        </m:r>
      </m:oMath>
      <w:r w:rsidRPr="00572030">
        <w:t>.</w:t>
      </w:r>
    </w:p>
    <w:p w:rsidR="00BF263B" w:rsidRPr="00572030" w:rsidRDefault="00BF263B" w:rsidP="00BF263B">
      <w:pPr>
        <w:pStyle w:val="12"/>
        <w:rPr>
          <w:b/>
        </w:rPr>
      </w:pPr>
      <w:r w:rsidRPr="00572030">
        <w:lastRenderedPageBreak/>
        <w:t>Стоимостные затраты до внедрения автоматизированной информационной системы составляют</w:t>
      </w:r>
      <w:r w:rsidRPr="00572030">
        <w:rPr>
          <w:b/>
        </w:rPr>
        <w:t> </w:t>
      </w:r>
      <w:r w:rsidRPr="00572030">
        <w:rPr>
          <w:i/>
        </w:rPr>
        <w:t>(</w:t>
      </w:r>
      <w:r w:rsidRPr="00572030">
        <w:rPr>
          <w:iCs/>
        </w:rPr>
        <w:t>C</w:t>
      </w:r>
      <w:r w:rsidRPr="00572030">
        <w:rPr>
          <w:iCs/>
          <w:vertAlign w:val="subscript"/>
        </w:rPr>
        <w:t>0</w:t>
      </w:r>
      <w:r w:rsidRPr="00572030">
        <w:t>)</w:t>
      </w:r>
      <w:r w:rsidRPr="00572030">
        <w:rPr>
          <w:b/>
        </w:rPr>
        <w:t>:</w:t>
      </w:r>
    </w:p>
    <w:p w:rsidR="00BF263B" w:rsidRPr="00572030" w:rsidRDefault="00BF263B" w:rsidP="00BF263B">
      <w:pPr>
        <w:pStyle w:val="12"/>
      </w:pPr>
      <w:r>
        <w:t xml:space="preserve">3,5 * 4 * 38 000 </w:t>
      </w:r>
      <w:r w:rsidRPr="00572030">
        <w:t xml:space="preserve">= </w:t>
      </w:r>
      <w:r>
        <w:t>532 000</w:t>
      </w:r>
      <w:r w:rsidRPr="00572030">
        <w:t xml:space="preserve"> руб.</w:t>
      </w:r>
    </w:p>
    <w:p w:rsidR="00BF263B" w:rsidRPr="00572030" w:rsidRDefault="00BF263B" w:rsidP="00BF263B">
      <w:pPr>
        <w:pStyle w:val="12"/>
        <w:rPr>
          <w:b/>
        </w:rPr>
      </w:pPr>
      <w:r w:rsidRPr="00572030">
        <w:t>Стоимостные затраты после внедрения автоматизированной информационной системы составляют</w:t>
      </w:r>
      <w:r w:rsidRPr="00572030">
        <w:rPr>
          <w:b/>
        </w:rPr>
        <w:t> </w:t>
      </w:r>
      <w:r w:rsidRPr="00572030">
        <w:t>(</w:t>
      </w:r>
      <w:r w:rsidRPr="00572030">
        <w:rPr>
          <w:iCs/>
        </w:rPr>
        <w:t>C</w:t>
      </w:r>
      <w:r w:rsidRPr="00572030">
        <w:rPr>
          <w:iCs/>
          <w:vertAlign w:val="subscript"/>
        </w:rPr>
        <w:t>1</w:t>
      </w:r>
      <w:r w:rsidRPr="00572030">
        <w:t>)</w:t>
      </w:r>
      <w:r w:rsidRPr="00572030">
        <w:rPr>
          <w:b/>
        </w:rPr>
        <w:t>:</w:t>
      </w:r>
    </w:p>
    <w:p w:rsidR="00BF263B" w:rsidRPr="00572030" w:rsidRDefault="00BF263B" w:rsidP="00BF263B">
      <w:pPr>
        <w:pStyle w:val="12"/>
      </w:pPr>
      <w:r>
        <w:t xml:space="preserve">0,6 * 2 * 38 000 </w:t>
      </w:r>
      <w:r w:rsidRPr="00572030">
        <w:t xml:space="preserve">= </w:t>
      </w:r>
      <w:r>
        <w:t>45 600</w:t>
      </w:r>
      <w:r w:rsidRPr="00572030">
        <w:t xml:space="preserve"> руб.</w:t>
      </w:r>
    </w:p>
    <w:p w:rsidR="00BF263B" w:rsidRPr="00572030" w:rsidRDefault="00BF263B" w:rsidP="00BF263B">
      <w:pPr>
        <w:pStyle w:val="12"/>
      </w:pPr>
      <w:r w:rsidRPr="00572030">
        <w:t xml:space="preserve">Разработка осуществлялась на компьютере разработчика, </w:t>
      </w:r>
      <w:proofErr w:type="spellStart"/>
      <w:r>
        <w:t>внетрения</w:t>
      </w:r>
      <w:proofErr w:type="spellEnd"/>
      <w:r>
        <w:t xml:space="preserve"> не требуется. </w:t>
      </w:r>
      <w:r w:rsidRPr="00572030">
        <w:t>Следовательно, стоимость амортизационных отчислений на работу компьютерной техники в общую сумму проекта не включается.</w:t>
      </w:r>
    </w:p>
    <w:p w:rsidR="00BF263B" w:rsidRPr="00572030" w:rsidRDefault="00BF263B" w:rsidP="00BF263B">
      <w:pPr>
        <w:pStyle w:val="12"/>
      </w:pPr>
      <w:r w:rsidRPr="00572030">
        <w:t>Рассчитаем трудоемкость и стоимостн</w:t>
      </w:r>
      <w:r>
        <w:t xml:space="preserve">ые затраты системы управления проектами </w:t>
      </w:r>
      <w:r w:rsidRPr="00572030">
        <w:t>и сравним их с трудоемкостью и стоимостными затратами существующей (базовой) технологии обработки информации. Полученные данные представлены в таблице 3.3.</w:t>
      </w:r>
    </w:p>
    <w:p w:rsidR="00BF263B" w:rsidRPr="00572030" w:rsidRDefault="00BF263B" w:rsidP="00BF263B">
      <w:pPr>
        <w:pStyle w:val="12"/>
      </w:pPr>
      <w:r w:rsidRPr="00572030">
        <w:t>Таблица 3.3 – Показатели эффективности от внедрения АИС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1323"/>
        <w:gridCol w:w="1505"/>
        <w:gridCol w:w="1589"/>
        <w:gridCol w:w="1738"/>
        <w:gridCol w:w="1407"/>
      </w:tblGrid>
      <w:tr w:rsidR="00BF263B" w:rsidRPr="00562EEF" w:rsidTr="00420A13">
        <w:tc>
          <w:tcPr>
            <w:tcW w:w="1817" w:type="dxa"/>
            <w:vMerge w:val="restart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</w:p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 w:rsidRPr="00562EEF">
              <w:t>Показатели</w:t>
            </w:r>
          </w:p>
        </w:tc>
        <w:tc>
          <w:tcPr>
            <w:tcW w:w="2934" w:type="dxa"/>
            <w:gridSpan w:val="2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 w:rsidRPr="00562EEF">
              <w:t>Затраты</w:t>
            </w:r>
          </w:p>
        </w:tc>
        <w:tc>
          <w:tcPr>
            <w:tcW w:w="1615" w:type="dxa"/>
            <w:vMerge w:val="restart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 w:rsidRPr="00562EEF">
              <w:t>Абсолютное изменение затрат</w:t>
            </w:r>
          </w:p>
        </w:tc>
        <w:tc>
          <w:tcPr>
            <w:tcW w:w="1767" w:type="dxa"/>
            <w:vMerge w:val="restart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 w:rsidRPr="00562EEF">
              <w:t>Коэффициент изменения затрат</w:t>
            </w:r>
          </w:p>
        </w:tc>
        <w:tc>
          <w:tcPr>
            <w:tcW w:w="1438" w:type="dxa"/>
            <w:vMerge w:val="restart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 w:rsidRPr="00562EEF">
              <w:t>Индекс изменения затрат</w:t>
            </w:r>
          </w:p>
        </w:tc>
      </w:tr>
      <w:tr w:rsidR="00BF263B" w:rsidRPr="00562EEF" w:rsidTr="00420A13">
        <w:tc>
          <w:tcPr>
            <w:tcW w:w="1817" w:type="dxa"/>
            <w:vMerge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</w:p>
        </w:tc>
        <w:tc>
          <w:tcPr>
            <w:tcW w:w="1392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  <w:r w:rsidRPr="00562EEF">
              <w:t>Базовый вариант</w:t>
            </w:r>
          </w:p>
        </w:tc>
        <w:tc>
          <w:tcPr>
            <w:tcW w:w="1542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  <w:r w:rsidRPr="00562EEF">
              <w:t>Проектный вариант</w:t>
            </w:r>
          </w:p>
        </w:tc>
        <w:tc>
          <w:tcPr>
            <w:tcW w:w="1615" w:type="dxa"/>
            <w:vMerge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</w:p>
        </w:tc>
        <w:tc>
          <w:tcPr>
            <w:tcW w:w="1767" w:type="dxa"/>
            <w:vMerge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</w:p>
        </w:tc>
        <w:tc>
          <w:tcPr>
            <w:tcW w:w="1438" w:type="dxa"/>
            <w:vMerge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</w:p>
        </w:tc>
      </w:tr>
      <w:tr w:rsidR="00BF263B" w:rsidRPr="00562EEF" w:rsidTr="00420A13">
        <w:tc>
          <w:tcPr>
            <w:tcW w:w="1817" w:type="dxa"/>
            <w:vMerge w:val="restart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  <w:r w:rsidRPr="00562EEF">
              <w:t>Трудоемкость</w:t>
            </w:r>
          </w:p>
        </w:tc>
        <w:tc>
          <w:tcPr>
            <w:tcW w:w="1392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ч</m:t>
                </m:r>
              </m:oMath>
            </m:oMathPara>
          </w:p>
        </w:tc>
        <w:tc>
          <w:tcPr>
            <w:tcW w:w="1542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oMath>
            <w:r w:rsidRPr="00562EEF">
              <w:rPr>
                <w:rFonts w:eastAsiaTheme="minorEastAsia"/>
              </w:rPr>
              <w:t>, ч</w:t>
            </w:r>
          </w:p>
        </w:tc>
        <w:tc>
          <w:tcPr>
            <w:tcW w:w="1615" w:type="dxa"/>
          </w:tcPr>
          <w:p w:rsidR="00BF263B" w:rsidRPr="00562EEF" w:rsidRDefault="00BF263B" w:rsidP="00420A13">
            <w:pPr>
              <w:pStyle w:val="ListParagraph"/>
              <w:tabs>
                <w:tab w:val="left" w:pos="1418"/>
              </w:tabs>
              <w:suppressAutoHyphens/>
              <w:ind w:left="0" w:firstLine="425"/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∆Т</m:t>
                </m:r>
              </m:oMath>
            </m:oMathPara>
          </w:p>
        </w:tc>
        <w:tc>
          <w:tcPr>
            <w:tcW w:w="1767" w:type="dxa"/>
          </w:tcPr>
          <w:p w:rsidR="00BF263B" w:rsidRPr="00562EEF" w:rsidRDefault="00BF263B" w:rsidP="00420A13">
            <w:pPr>
              <w:pStyle w:val="ListParagraph"/>
              <w:suppressAutoHyphens/>
              <w:ind w:left="0" w:firstLine="42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438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</w:tr>
      <w:tr w:rsidR="00BF263B" w:rsidRPr="00562EEF" w:rsidTr="00420A13">
        <w:tc>
          <w:tcPr>
            <w:tcW w:w="1817" w:type="dxa"/>
            <w:vMerge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</w:p>
        </w:tc>
        <w:tc>
          <w:tcPr>
            <w:tcW w:w="1392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>
              <w:t>3,5</w:t>
            </w:r>
          </w:p>
        </w:tc>
        <w:tc>
          <w:tcPr>
            <w:tcW w:w="1542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>
              <w:t>0,6</w:t>
            </w:r>
          </w:p>
        </w:tc>
        <w:tc>
          <w:tcPr>
            <w:tcW w:w="1615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>
              <w:t>2,9</w:t>
            </w:r>
          </w:p>
        </w:tc>
        <w:tc>
          <w:tcPr>
            <w:tcW w:w="1767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>
              <w:t>83%</w:t>
            </w:r>
          </w:p>
        </w:tc>
        <w:tc>
          <w:tcPr>
            <w:tcW w:w="1438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>
              <w:t>0,17</w:t>
            </w:r>
          </w:p>
        </w:tc>
      </w:tr>
      <w:tr w:rsidR="00BF263B" w:rsidRPr="00562EEF" w:rsidTr="00420A13">
        <w:tc>
          <w:tcPr>
            <w:tcW w:w="1817" w:type="dxa"/>
            <w:vMerge w:val="restart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  <w:r w:rsidRPr="00562EEF">
              <w:t>Стоимость</w:t>
            </w:r>
          </w:p>
        </w:tc>
        <w:tc>
          <w:tcPr>
            <w:tcW w:w="1392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р</m:t>
                </m:r>
              </m:oMath>
            </m:oMathPara>
          </w:p>
        </w:tc>
        <w:tc>
          <w:tcPr>
            <w:tcW w:w="1542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р</m:t>
                </m:r>
              </m:oMath>
            </m:oMathPara>
          </w:p>
        </w:tc>
        <w:tc>
          <w:tcPr>
            <w:tcW w:w="1615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∆С</m:t>
                </m:r>
              </m:oMath>
            </m:oMathPara>
          </w:p>
        </w:tc>
        <w:tc>
          <w:tcPr>
            <w:tcW w:w="1767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438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</m:oMath>
            </m:oMathPara>
          </w:p>
        </w:tc>
      </w:tr>
      <w:tr w:rsidR="00BF263B" w:rsidRPr="00562EEF" w:rsidTr="00420A13">
        <w:tc>
          <w:tcPr>
            <w:tcW w:w="1817" w:type="dxa"/>
            <w:vMerge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both"/>
            </w:pPr>
          </w:p>
        </w:tc>
        <w:tc>
          <w:tcPr>
            <w:tcW w:w="1392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>
              <w:t>532000</w:t>
            </w:r>
          </w:p>
        </w:tc>
        <w:tc>
          <w:tcPr>
            <w:tcW w:w="1542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>
              <w:t>45600</w:t>
            </w:r>
          </w:p>
        </w:tc>
        <w:tc>
          <w:tcPr>
            <w:tcW w:w="1615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>
              <w:t>486400</w:t>
            </w:r>
          </w:p>
        </w:tc>
        <w:tc>
          <w:tcPr>
            <w:tcW w:w="1767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>
              <w:t>91,43%</w:t>
            </w:r>
          </w:p>
        </w:tc>
        <w:tc>
          <w:tcPr>
            <w:tcW w:w="1438" w:type="dxa"/>
          </w:tcPr>
          <w:p w:rsidR="00BF263B" w:rsidRPr="00562EEF" w:rsidRDefault="00BF263B" w:rsidP="00420A13">
            <w:pPr>
              <w:pStyle w:val="ListParagraph"/>
              <w:suppressAutoHyphens/>
              <w:ind w:left="0"/>
              <w:jc w:val="center"/>
            </w:pPr>
            <w:r>
              <w:t>0,857</w:t>
            </w:r>
          </w:p>
        </w:tc>
      </w:tr>
    </w:tbl>
    <w:p w:rsidR="00BF263B" w:rsidRDefault="00BF263B" w:rsidP="00BF263B">
      <w:pPr>
        <w:tabs>
          <w:tab w:val="left" w:pos="2650"/>
          <w:tab w:val="center" w:pos="4857"/>
        </w:tabs>
        <w:spacing w:before="240" w:line="360" w:lineRule="auto"/>
        <w:ind w:firstLine="709"/>
        <w:jc w:val="both"/>
      </w:pPr>
      <w:r w:rsidRPr="00F27D97">
        <w:rPr>
          <w:rFonts w:eastAsiaTheme="minorEastAsia"/>
          <w:color w:val="00000A"/>
          <w:sz w:val="28"/>
          <w:szCs w:val="28"/>
        </w:rPr>
        <w:t xml:space="preserve">Таким образом, получены следующие результаты: </w:t>
      </w:r>
      <w:r>
        <w:rPr>
          <w:rFonts w:eastAsiaTheme="minorEastAsia"/>
          <w:color w:val="00000A"/>
          <w:sz w:val="28"/>
          <w:szCs w:val="28"/>
        </w:rPr>
        <w:t>система управления проектами</w:t>
      </w:r>
      <w:r w:rsidRPr="00F27D97">
        <w:rPr>
          <w:rFonts w:eastAsiaTheme="minorEastAsia"/>
          <w:color w:val="00000A"/>
          <w:sz w:val="28"/>
          <w:szCs w:val="28"/>
        </w:rPr>
        <w:t xml:space="preserve"> является </w:t>
      </w:r>
      <w:r>
        <w:rPr>
          <w:rFonts w:eastAsiaTheme="minorEastAsia"/>
          <w:color w:val="00000A"/>
          <w:sz w:val="28"/>
          <w:szCs w:val="28"/>
        </w:rPr>
        <w:t>эффективной</w:t>
      </w:r>
      <w:r w:rsidRPr="00F27D97">
        <w:rPr>
          <w:rFonts w:eastAsiaTheme="minorEastAsia"/>
          <w:color w:val="00000A"/>
          <w:sz w:val="28"/>
          <w:szCs w:val="28"/>
        </w:rPr>
        <w:t xml:space="preserve">, так как трудоемкость операций сократилась на </w:t>
      </w:r>
      <w:r>
        <w:rPr>
          <w:rFonts w:eastAsiaTheme="minorEastAsia"/>
          <w:color w:val="00000A"/>
          <w:sz w:val="28"/>
          <w:szCs w:val="28"/>
        </w:rPr>
        <w:t>83</w:t>
      </w:r>
      <w:r w:rsidRPr="00F27D97">
        <w:rPr>
          <w:rFonts w:eastAsiaTheme="minorEastAsia"/>
          <w:color w:val="00000A"/>
          <w:sz w:val="28"/>
          <w:szCs w:val="28"/>
        </w:rPr>
        <w:t xml:space="preserve">%, а затраты на оплату труда уменьшились на </w:t>
      </w:r>
      <w:r>
        <w:rPr>
          <w:rFonts w:eastAsiaTheme="minorEastAsia"/>
          <w:color w:val="00000A"/>
          <w:sz w:val="28"/>
          <w:szCs w:val="28"/>
        </w:rPr>
        <w:t>91,43</w:t>
      </w:r>
      <w:r w:rsidRPr="00F27D97">
        <w:rPr>
          <w:rFonts w:eastAsiaTheme="minorEastAsia"/>
          <w:color w:val="00000A"/>
          <w:sz w:val="28"/>
          <w:szCs w:val="28"/>
        </w:rPr>
        <w:t>%.</w:t>
      </w:r>
      <w:r>
        <w:rPr>
          <w:rFonts w:eastAsiaTheme="minorEastAsia"/>
          <w:color w:val="00000A"/>
          <w:sz w:val="28"/>
          <w:szCs w:val="28"/>
        </w:rPr>
        <w:t xml:space="preserve"> Исходя из всего вышесказанного, делаем вывод о том, что разработанная </w:t>
      </w:r>
      <w:r>
        <w:rPr>
          <w:rFonts w:eastAsiaTheme="minorEastAsia"/>
          <w:sz w:val="28"/>
          <w:szCs w:val="28"/>
        </w:rPr>
        <w:t>система оформления образовательных отношений</w:t>
      </w:r>
      <w:r w:rsidRPr="001A4D1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color w:val="00000A"/>
          <w:sz w:val="28"/>
          <w:szCs w:val="28"/>
        </w:rPr>
        <w:t>может сократить временные затраты на выполнение различных процессов, увеличить эффективность расходования средств предприятия.</w:t>
      </w:r>
    </w:p>
    <w:p w:rsidR="00F2610F" w:rsidRDefault="00BF263B">
      <w:bookmarkStart w:id="16" w:name="_GoBack"/>
      <w:bookmarkEnd w:id="16"/>
    </w:p>
    <w:sectPr w:rsidR="00F26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A5F29"/>
    <w:multiLevelType w:val="hybridMultilevel"/>
    <w:tmpl w:val="EE42D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4E60AE"/>
    <w:multiLevelType w:val="hybridMultilevel"/>
    <w:tmpl w:val="64A47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D50BD5"/>
    <w:multiLevelType w:val="multilevel"/>
    <w:tmpl w:val="2F8A241A"/>
    <w:lvl w:ilvl="0">
      <w:start w:val="1"/>
      <w:numFmt w:val="decimal"/>
      <w:pStyle w:val="1"/>
      <w:lvlText w:val="%1."/>
      <w:lvlJc w:val="left"/>
      <w:pPr>
        <w:ind w:left="810" w:hanging="360"/>
      </w:pPr>
    </w:lvl>
    <w:lvl w:ilvl="1">
      <w:start w:val="1"/>
      <w:numFmt w:val="decimal"/>
      <w:pStyle w:val="1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3" w15:restartNumberingAfterBreak="0">
    <w:nsid w:val="4BF1349F"/>
    <w:multiLevelType w:val="hybridMultilevel"/>
    <w:tmpl w:val="5A3AB942"/>
    <w:lvl w:ilvl="0" w:tplc="FA8A3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583CF1"/>
    <w:multiLevelType w:val="hybridMultilevel"/>
    <w:tmpl w:val="9CEA2748"/>
    <w:lvl w:ilvl="0" w:tplc="7276B788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6633FE"/>
    <w:multiLevelType w:val="multilevel"/>
    <w:tmpl w:val="C38E99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A9E499A"/>
    <w:multiLevelType w:val="hybridMultilevel"/>
    <w:tmpl w:val="A75AC2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3B"/>
    <w:rsid w:val="00BE64FE"/>
    <w:rsid w:val="00BF263B"/>
    <w:rsid w:val="00C5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64CDB-DB5E-4B7D-853E-13655AA2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6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263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263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F263B"/>
  </w:style>
  <w:style w:type="paragraph" w:customStyle="1" w:styleId="1">
    <w:name w:val="1Заголовок"/>
    <w:basedOn w:val="Heading1"/>
    <w:link w:val="11"/>
    <w:qFormat/>
    <w:rsid w:val="00BF263B"/>
    <w:pPr>
      <w:numPr>
        <w:ilvl w:val="1"/>
        <w:numId w:val="1"/>
      </w:numPr>
      <w:spacing w:before="0" w:line="360" w:lineRule="auto"/>
      <w:ind w:left="810" w:hanging="36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1">
    <w:name w:val="1Заголовок Знак"/>
    <w:basedOn w:val="Heading1Char"/>
    <w:link w:val="1"/>
    <w:rsid w:val="00BF263B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eastAsia="ru-RU"/>
    </w:rPr>
  </w:style>
  <w:style w:type="paragraph" w:customStyle="1" w:styleId="2">
    <w:name w:val="2Заголовок"/>
    <w:basedOn w:val="Heading2"/>
    <w:link w:val="20"/>
    <w:qFormat/>
    <w:rsid w:val="00BF263B"/>
    <w:pPr>
      <w:spacing w:before="0" w:line="360" w:lineRule="auto"/>
      <w:ind w:left="1170" w:hanging="72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2Заголовок Знак"/>
    <w:basedOn w:val="Heading2Char"/>
    <w:link w:val="2"/>
    <w:rsid w:val="00BF263B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eastAsia="ru-RU"/>
    </w:rPr>
  </w:style>
  <w:style w:type="paragraph" w:customStyle="1" w:styleId="12">
    <w:name w:val="1Текст"/>
    <w:basedOn w:val="Normal"/>
    <w:link w:val="13"/>
    <w:qFormat/>
    <w:rsid w:val="00BF263B"/>
    <w:pPr>
      <w:autoSpaceDE w:val="0"/>
      <w:autoSpaceDN w:val="0"/>
      <w:adjustRightInd w:val="0"/>
      <w:spacing w:line="360" w:lineRule="auto"/>
      <w:ind w:firstLine="709"/>
      <w:jc w:val="both"/>
    </w:pPr>
    <w:rPr>
      <w:bCs/>
      <w:color w:val="000000"/>
      <w:sz w:val="28"/>
      <w:szCs w:val="28"/>
      <w:shd w:val="clear" w:color="auto" w:fill="FFFFFF"/>
    </w:rPr>
  </w:style>
  <w:style w:type="character" w:customStyle="1" w:styleId="13">
    <w:name w:val="1Текст Знак"/>
    <w:basedOn w:val="DefaultParagraphFont"/>
    <w:link w:val="12"/>
    <w:rsid w:val="00BF263B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BF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1Маркер"/>
    <w:basedOn w:val="12"/>
    <w:link w:val="14"/>
    <w:qFormat/>
    <w:rsid w:val="00BF263B"/>
    <w:pPr>
      <w:numPr>
        <w:numId w:val="2"/>
      </w:numPr>
    </w:pPr>
  </w:style>
  <w:style w:type="character" w:customStyle="1" w:styleId="14">
    <w:name w:val="1Маркер Знак"/>
    <w:basedOn w:val="13"/>
    <w:link w:val="10"/>
    <w:rsid w:val="00BF263B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table" w:customStyle="1" w:styleId="15">
    <w:name w:val="Сетка таблицы1"/>
    <w:basedOn w:val="TableNormal"/>
    <w:next w:val="TableGrid"/>
    <w:uiPriority w:val="59"/>
    <w:rsid w:val="00BF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6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6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2510</Words>
  <Characters>14312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Venera Lobanova</dc:creator>
  <cp:keywords/>
  <dc:description/>
  <cp:lastModifiedBy>Venera Lobanova</cp:lastModifiedBy>
  <cp:revision>1</cp:revision>
  <dcterms:created xsi:type="dcterms:W3CDTF">2019-06-17T18:01:00Z</dcterms:created>
  <dcterms:modified xsi:type="dcterms:W3CDTF">2019-06-17T18:01:00Z</dcterms:modified>
</cp:coreProperties>
</file>