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tiveram cronometradas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were timed in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32</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25</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NR</w:t>
      </w:r>
      <w:r>
        <w:rPr/>
        <w:tab/>
        <w:t>Norma Regulamentadora</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30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31</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32</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O uso de lubrificantes é muito antigo. Pinturas egípcias de cerca de 1880 a.C. mostram um trabalhador derramando um líquido à frente do trenó que transportava uma estátua, para reduzir o atrito, e gorduras animais já eram aplicadas nos eixos de carros de tração por volta de 1400 a.C.</w:t>
      </w:r>
      <w:r>
        <w:rPr>
          <w:vertAlign w:val="superscript"/>
        </w:rPr>
        <w:t>2</w:t>
      </w:r>
      <w:r>
        <w:rPr/>
        <w:t xml:space="preserve"> Até o século XIX, os lubrificantes eram principalmente gorduras animais e óleos vegetais; os óleos minerais, derivados do petróleo, só se difundiram a partir da segunda metade daquele século, acompanhando a mecanização da indústria.</w:t>
      </w:r>
      <w:r>
        <w:rPr>
          <w:vertAlign w:val="superscript"/>
        </w:rPr>
        <w:t>2</w:t>
      </w:r>
    </w:p>
    <w:p>
      <w:pPr>
        <w:pStyle w:val="Normal"/>
        <w:widowControl/>
        <w:spacing w:lineRule="auto" w:line="360" w:before="0" w:after="120"/>
        <w:ind w:left="0" w:right="0" w:firstLine="709"/>
        <w:jc w:val="both"/>
        <w:rPr/>
      </w:pPr>
      <w:r>
        <w:rPr/>
        <w:t>Nas fábricas de papel e celulose, a lubrificação acompanhou essa evolução. Por muito tempo, ela dependeu do trabalho manual do lubrificador, que percorria a fábrica aplicando óleo e graxa ponto a ponto. Mesmo nos primeiros sistemas de circulação de óleo das máquinas de papel, que chegam a ter cerca de 500 pontos de lubrificação nos mancais de cilindros e rolos, a vazão de cada ponto era ajustada à mão em painéis instalados no porão, sob a máquina, e qualquer mudança nas condições de operação exigia nova regulagem, ponto a ponto.</w:t>
      </w:r>
      <w:r>
        <w:rPr>
          <w:vertAlign w:val="superscript"/>
        </w:rPr>
        <w:t>3</w:t>
      </w:r>
      <w:r>
        <w:rPr/>
        <w:t xml:space="preserve"> Hoje, as máquinas modernas empregam circulação de óleo nas seções de prensas e de secagem e graxa nas seções de formação,</w:t>
      </w:r>
      <w:r>
        <w:rPr>
          <w:vertAlign w:val="superscript"/>
        </w:rPr>
        <w:t>4</w:t>
      </w:r>
      <w:r>
        <w:rPr/>
        <w:t xml:space="preserve"> com sistemas que monitoram e controlam a lubrificação de forma automática.</w:t>
      </w:r>
      <w:r>
        <w:rPr>
          <w:vertAlign w:val="superscript"/>
        </w:rPr>
        <w:t>3</w:t>
      </w:r>
    </w:p>
    <w:p>
      <w:pPr>
        <w:pStyle w:val="Normal"/>
        <w:widowControl/>
        <w:spacing w:lineRule="auto" w:line="360" w:before="0" w:after="120"/>
        <w:ind w:left="0" w:right="0" w:firstLine="709"/>
        <w:jc w:val="both"/>
        <w:rPr/>
      </w:pPr>
      <w:r>
        <w:rPr/>
        <w:t>Em Três Lagoas, a indústria de celulose é recente: a primeira grande fábrica, da Fibria (atual Suzano), instalou-se em 2009, com capacidade de 1,3 milhão de toneladas de celulose por ano, e a Eldorado Brasil começou a operar em 2012, com capacidade de 1,7 milhão de toneladas; em 2021, a Lei nº 14.142 conferiu ao município o título de Capital Nacional da Celulose.</w:t>
      </w:r>
      <w:r>
        <w:rPr>
          <w:vertAlign w:val="superscript"/>
        </w:rPr>
        <w:t>5</w:t>
      </w:r>
      <w:r>
        <w:rPr/>
        <w:t xml:space="preserve"> Essas fábricas já nasceram com sistemas modernos de lubrificação nas máquinas principais, mas, em equipamentos menores, como redutores, bombas e transportadores, a lubrificação continua sendo feita pelo mecânico, o que mantém atual o problema tratado neste trabalho.</w:t>
      </w:r>
    </w:p>
    <w:p>
      <w:pPr>
        <w:pStyle w:val="Normal"/>
        <w:widowControl/>
        <w:spacing w:lineRule="auto" w:line="360" w:before="0" w:after="120"/>
        <w:ind w:left="0" w:right="0" w:firstLine="709"/>
        <w:jc w:val="both"/>
        <w:rPr/>
      </w:pPr>
      <w:r>
        <w:rPr/>
        <w:t>Apesar dessa evolução,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6</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o acionamento de uma pequena esteira transportadora.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7</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6</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8</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6</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6</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6</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9</w:t>
      </w:r>
      <w:r>
        <w:rPr/>
        <w:t xml:space="preserve"> Na linha Magma M, o fabricante informa um único volume por tamanho, válido para todas as posições de trabalho (0,87 L no tamanho 06 de um estágio),</w:t>
      </w:r>
      <w:r>
        <w:rPr>
          <w:vertAlign w:val="superscript"/>
        </w:rPr>
        <w:t>6</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Para Osada, os 5S organizam o ambiente de trabalho de modo que cada item necessário tenha um lugar definido e identificado, o que reduz o tempo perdido com procura.</w:t>
      </w:r>
      <w:r>
        <w:rPr>
          <w:vertAlign w:val="superscript"/>
        </w:rPr>
        <w:t>10</w:t>
      </w:r>
      <w:r>
        <w:rPr/>
        <w:t xml:space="preserve"> Galsworth descreve o local de trabalho visual como aquele que se explica e se regula por si mesmo, porque a informação necessária à tarefa é convertida em dispositivos visuais simples e colocada no ponto de uso.</w:t>
      </w:r>
      <w:r>
        <w:rPr>
          <w:vertAlign w:val="superscript"/>
        </w:rPr>
        <w:t>11</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12</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Pela estrutura do código e pelas tabelas do manual da linha coroa e rosca do fabricante,</w:t>
      </w:r>
      <w:r>
        <w:rPr>
          <w:vertAlign w:val="superscript"/>
        </w:rPr>
        <w:t>6</w:t>
      </w:r>
      <w:r>
        <w:rPr/>
        <w:t xml:space="preserve"> o redutor foi identificado como da linha Magma M, tamanho 06. Como não foi possível confirmar essa identificação com o fabricante, ela foi adotada como premissa do estudo, e os dados dela derivados, em especial o volume de óleo, devem ser conferidos antes de uma aplicação industrial.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(identificada pelo código da placa e pelo manual, sem confirmação do fabricante),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Altura de 225 mm e largura da carcaça de 116 mm (medidas pela equipe com paquímetro); massa: 18,1 kg (pesado pela equipe sem os bujões de dreno e de nível)</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6</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Como visto na seção 2.1.2, o volume de óleo da linha Magma M é o mesmo para todas as posições de trabalho (0,87 L no tamanho 06).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9</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Troca conforme a temperatura do óleo: 15.000 h (80 °C); 10.000 h (85 °C); 7.500 h (90 °C). Avaliar o óleo nas primeiras 500 h. Inspeção visual: mensal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Tag RED-001-OLE-04; galão identificado pela cor laranja (código e cor fictícios, adotados como exemplo)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13</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6</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regra validada com o professor; já o complemento e a troca, que exigem abrir o redutor, são feitos com o equipamento parado e bloqueado, como determina a NR-12 para as intervenções de manutenção em máquinas;</w:t>
      </w:r>
      <w:r>
        <w:rPr>
          <w:vertAlign w:val="superscript"/>
        </w:rPr>
        <w:t>14</w:t>
      </w:r>
      <w:r>
        <w:rPr/>
        <w:t xml:space="preserve">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6</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6</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O código OLE-04 e a cor laranja são fictícios, adotados como exemplo neste estudo; em uma implantação real, devem seguir o padrão de codificação e de cores do almoxarifado da empresa.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visuais mensais de vazamento, ruído e temperatura da carcaça, o que resulta em 12 intervenções por ano,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e não há custo de linha de produção a considerar, foi quantificado o segundo cenário, com o custo da hora do mecânico obtido do salário médio do mecânico de manutenção de máquinas em geral (CBO 9113-05): R$ 3.150,00 por mês, para jornada de 44 horas semanais, segundo dados do Novo Caged reunidos pelo Portal Salário.</w:t>
      </w:r>
      <w:r>
        <w:rPr>
          <w:vertAlign w:val="superscript"/>
        </w:rPr>
        <w:t>15</w:t>
      </w:r>
      <w:r>
        <w:rPr/>
        <w:t xml:space="preserve"> Dividido por 220 horas mensais, esse salário corresponde a cerca de R$ 14,32 por hora; como os encargos trabalhistas não foram somados, a estimativa é conservadora.</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6</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12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DOWSON, D. </w:t>
      </w:r>
      <w:r>
        <w:rPr>
          <w:b/>
          <w:bCs/>
        </w:rPr>
        <w:t>History of tribology</w:t>
      </w:r>
      <w:r>
        <w:rPr/>
        <w:t>. 2. ed. London: Professional Engineering Publishing, 1998.</w:t>
      </w:r>
    </w:p>
    <w:p>
      <w:pPr>
        <w:pStyle w:val="Normal"/>
        <w:spacing w:lineRule="auto" w:line="240" w:before="0" w:after="240"/>
        <w:jc w:val="left"/>
        <w:rPr/>
      </w:pPr>
      <w:r>
        <w:rPr/>
        <w:t xml:space="preserve">3. HYVÖNEN, H. et al. </w:t>
      </w:r>
      <w:r>
        <w:rPr>
          <w:b/>
          <w:bCs/>
        </w:rPr>
        <w:t>System for monitoring and control of the circulation lubrication of the bearings of cylinders and rolls in a paper machine</w:t>
      </w:r>
      <w:r>
        <w:rPr/>
        <w:t>. Titular: Valmet Oy. US 5813496 A. Depósito: 27 fev. 1996. Concessão: 29 set. 1998. Disponível em: https://patents.google.com/patent/US5813496A/en. Acesso em: 14 out. 2026.</w:t>
      </w:r>
    </w:p>
    <w:p>
      <w:pPr>
        <w:pStyle w:val="Normal"/>
        <w:spacing w:lineRule="auto" w:line="240" w:before="0" w:after="240"/>
        <w:jc w:val="left"/>
        <w:rPr/>
      </w:pPr>
      <w:r>
        <w:rPr/>
        <w:t xml:space="preserve">4. HINK, R. Best lubrication practices for the paper industry. </w:t>
      </w:r>
      <w:r>
        <w:rPr>
          <w:b/>
          <w:bCs/>
        </w:rPr>
        <w:t>Machinery Lubrication</w:t>
      </w:r>
      <w:r>
        <w:rPr/>
        <w:t>, Tulsa, jan. 2005. Disponível em: https://www.machinerylubrication.com/Read/709/paper-industry-lubrication. Acesso em: 14 out. 2026.</w:t>
      </w:r>
    </w:p>
    <w:p>
      <w:pPr>
        <w:pStyle w:val="Normal"/>
        <w:spacing w:lineRule="auto" w:line="240" w:before="0" w:after="240"/>
        <w:jc w:val="left"/>
        <w:rPr/>
      </w:pPr>
      <w:r>
        <w:rPr/>
        <w:t xml:space="preserve">5. AGÊNCIA SENADO. </w:t>
      </w:r>
      <w:r>
        <w:rPr>
          <w:b/>
          <w:bCs/>
        </w:rPr>
        <w:t>Sancionada lei que dá o título de Capital Nacional da Celulose a Três Lagoas (MS)</w:t>
      </w:r>
      <w:r>
        <w:rPr/>
        <w:t>. Brasília, DF, 20 abr. 2021. Disponível em: https://www12.senado.leg.br/noticias/materias/2021/04/20/sancionada-lei-que-da-o-titulo-de-capital-nacional-da-celulose-a-tres-lagoas-ms. Acesso em: 14 out. 2026.</w:t>
      </w:r>
    </w:p>
    <w:p>
      <w:pPr>
        <w:pStyle w:val="Normal"/>
        <w:spacing w:lineRule="auto" w:line="240" w:before="0" w:after="240"/>
        <w:jc w:val="left"/>
        <w:rPr/>
      </w:pPr>
      <w:r>
        <w:rPr/>
        <w:t xml:space="preserve">6.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7.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8.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9.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10. OSADA, T. </w:t>
      </w:r>
      <w:r>
        <w:rPr>
          <w:b/>
          <w:bCs/>
        </w:rPr>
        <w:t>Housekeeping, 5S</w:t>
      </w:r>
      <w:r>
        <w:rPr/>
        <w:t>: seiri, seiton, seiso, seiketsu, shitsuke. São Paulo: Instituto IMAM, 1992.</w:t>
      </w:r>
    </w:p>
    <w:p>
      <w:pPr>
        <w:pStyle w:val="Normal"/>
        <w:spacing w:lineRule="auto" w:line="240" w:before="0" w:after="240"/>
        <w:jc w:val="left"/>
        <w:rPr/>
      </w:pPr>
      <w:r>
        <w:rPr/>
        <w:t xml:space="preserve">11. GALSWORTH, G. D. </w:t>
      </w:r>
      <w:r>
        <w:rPr>
          <w:b/>
          <w:bCs/>
        </w:rPr>
        <w:t>Visual workplace visual thinking</w:t>
      </w:r>
      <w:r>
        <w:rPr/>
        <w:t>: creating enterprise excellence through the technologies of the visual workplace. 2. ed. New York: Productivity Press, 2017.</w:t>
      </w:r>
    </w:p>
    <w:p>
      <w:pPr>
        <w:pStyle w:val="Normal"/>
        <w:spacing w:lineRule="auto" w:line="240" w:before="0" w:after="240"/>
        <w:jc w:val="left"/>
        <w:rPr/>
      </w:pPr>
      <w:r>
        <w:rPr/>
        <w:t xml:space="preserve">12.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13. BRASIL. Conselho Nacional do Meio Ambiente. </w:t>
      </w:r>
      <w:r>
        <w:rPr>
          <w:b/>
          <w:bCs/>
        </w:rPr>
        <w:t>Resolução CONAMA nº 362, de 23 de junho de 2005</w:t>
      </w:r>
      <w:r>
        <w:rPr/>
        <w:t>. Dispõe sobre o recolhimento, coleta e destinação final de óleo lubrificante usado ou contaminado. Brasília, DF: CONAMA, 2005.</w:t>
      </w:r>
    </w:p>
    <w:p>
      <w:pPr>
        <w:pStyle w:val="Normal"/>
        <w:spacing w:lineRule="auto" w:line="240" w:before="0" w:after="240"/>
        <w:jc w:val="left"/>
        <w:rPr/>
      </w:pPr>
      <w:r>
        <w:rPr/>
        <w:t xml:space="preserve">14. BRASIL. Ministério do Trabalho e Emprego. </w:t>
      </w:r>
      <w:r>
        <w:rPr>
          <w:b/>
          <w:bCs/>
        </w:rPr>
        <w:t>NR 12</w:t>
      </w:r>
      <w:r>
        <w:rPr/>
        <w:t>: segurança no trabalho em máquinas e equipamentos. Brasília, DF: MTE, 2019.</w:t>
      </w:r>
    </w:p>
    <w:p>
      <w:pPr>
        <w:pStyle w:val="Normal"/>
        <w:spacing w:lineRule="auto" w:line="240" w:before="0" w:after="240"/>
        <w:jc w:val="left"/>
        <w:rPr/>
      </w:pPr>
      <w:r>
        <w:rPr/>
        <w:t xml:space="preserve">15. PORTAL SALÁRIO. </w:t>
      </w:r>
      <w:r>
        <w:rPr>
          <w:b/>
          <w:bCs/>
        </w:rPr>
        <w:t>Mecânico de manutenção de máquinas em geral</w:t>
      </w:r>
      <w:r>
        <w:rPr/>
        <w:t>: salário 2026 (CBO 9113-05). [S. l.]: Salario.com.br, 2026. Disponível em: https://www.salario.com.br/profissao/mecanico-de-manutencao-de-maquinas-em-geral-cbo-911305/. Acesso em: 19 out. 2026.</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12</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p>
    <w:sectPr>
      <w:headerReference w:type="default" r:id="rId8"/>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4">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0">
          <wp:simplePos x="0" y="0"/>
          <wp:positionH relativeFrom="page">
            <wp:posOffset>0</wp:posOffset>
          </wp:positionH>
          <wp:positionV relativeFrom="page">
            <wp:posOffset>0</wp:posOffset>
          </wp:positionV>
          <wp:extent cx="7560310" cy="10692130"/>
          <wp:effectExtent l="0" t="0" r="0" b="0"/>
          <wp:wrapNone/>
          <wp:docPr id="7"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32</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