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30</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24</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29</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30</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rPr>
          <w:sz w:val="20"/>
          <w:szCs w:val="20"/>
        </w:rPr>
      </w:pPr>
      <w:r>
        <w:rPr>
          <w:sz w:val="20"/>
          <w:szCs w:val="20"/>
        </w:rPr>
        <w:t>Fonte: Placa de identificação do redutor, levantamento dos autores e WEG-Cestari.</w:t>
      </w:r>
      <w:r>
        <w:rPr>
          <w:sz w:val="20"/>
          <w:szCs w:val="20"/>
          <w:vertAlign w:val="superscript"/>
        </w:rPr>
        <w:t>2</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Acervo dos autores (2026).</w:t>
      </w:r>
    </w:p>
    <w:p>
      <w:pPr>
        <w:pStyle w:val="Normal"/>
        <w:widowControl/>
        <w:spacing w:lineRule="auto" w:line="360" w:before="0" w:after="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5</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9" w:name="pag24"/>
      <w:bookmarkEnd w:id="19"/>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 Resultados e Discussões</w:t>
      </w:r>
    </w:p>
    <w:p>
      <w:pPr>
        <w:pStyle w:val="Heading3"/>
        <w:spacing w:before="0" w:after="414"/>
        <w:rPr/>
      </w:pPr>
      <w:bookmarkStart w:id="24" w:name="pag28"/>
      <w:bookmarkEnd w:id="24"/>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30</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