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27</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21</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26</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27</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RED-001-OLE-01; galão identificado pela cor azul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a página oferece um roteiro de inspeção do redutor, com um modelo tridimensional das peças e uma lista de verificação. Quando o horímetro é informado na inspeção, a página calcula, durante a digitação,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usual em redutores de maior porte, exige a retirada de uma amostra e a reposição do volume retirado com o mesmo lubrificante, com registro da quantidade. O manual do fabricante orienta verificar o nível e completá-lo, quando necessário, com o lubrificante recomendado, usar nas trocas o mesmo óleo indicado na plaqueta, não misturar óleos de tipos e fabricantes diferentes e substituir o óleo que estiver contaminado ou com partículas.</w:t>
      </w:r>
      <w:r>
        <w:rPr>
          <w:vertAlign w:val="superscript"/>
        </w:rPr>
        <w:t>2</w:t>
      </w:r>
      <w:r>
        <w:rPr/>
        <w:t xml:space="preserve"> No redutor estudado, cuja carga total é de 30 mL na posição M1, a coleta para laboratório não é viável, pois o frasco de amostra tende a exigir volume superior ao do próprio redutor </w:t>
      </w:r>
      <w:r>
        <w:rPr>
          <w:shd w:fill="FFFF00" w:val="clear"/>
        </w:rPr>
        <w:t>[confirmar com o laboratório o volume mínimo de amostra]</w:t>
      </w:r>
      <w:r>
        <w:rPr/>
        <w:t>. Por isso, o roteiro de inspeção adota a observação visual de uma pequena quantidade de óleo (cor, transparência e presença de partículas), associada à temperatura da carcaça e às horas de uso, e orienta repor o que foi retirado e registrar a intervenção como complemento.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(RED-001-OLE-01),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uma vez que o mesmo manual traz também a indicação geral de troca a cada 3.500 horas ou anualmente; a falta de informação sobre a localização dos bujões no tamanho 28;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em redutores de maior porte, e a integração do histórico de lubrificações ao sistema de PCM da empresa.</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 Além do QR Code e do código do equipamento, a etiqueta traz a cor do galão e o tag do óleo, com o nome da cor escrito por extenso, para que a identificação não dependa de impressão colorida.</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vida útil do óleo, com as datas da última e da próxima troca (à esquerda); lubrificante, com o tag e a cor do galão, e alerta de segurança (ao centro); registro da intervenção e histórico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5">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27</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