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0"/>
          <w:szCs w:val="20"/>
        </w:rPr>
        <w:t xml:space="preserve">Projeto Integrador apresentado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0"/>
        <w:ind w:left="4535" w:right="0" w:hanging="0"/>
        <w:rPr/>
      </w:pPr>
      <w:r>
        <w:rPr>
          <w:sz w:val="20"/>
          <w:szCs w:val="20"/>
        </w:rPr>
        <w:t xml:space="preserve">Orientador(a): </w:t>
      </w:r>
      <w:r>
        <w:rPr>
          <w:sz w:val="20"/>
          <w:szCs w:val="20"/>
          <w:shd w:fill="FFFF00" w:val="clear"/>
        </w:rPr>
        <w:t>[NOME DO ORIENTADOR]</w:t>
      </w:r>
    </w:p>
    <w:p>
      <w:pPr>
        <w:pStyle w:val="Normal"/>
        <w:spacing w:lineRule="auto" w:line="360" w:before="482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0"/>
          <w:szCs w:val="20"/>
        </w:rPr>
        <w:t xml:space="preserve">Projeto Integrador apresentado, avaliado e aprovado como requisito parcial para a conclusão do curso Técnico em Mecânica, ao SENAI </w:t>
      </w:r>
      <w:r>
        <w:rPr>
          <w:sz w:val="20"/>
          <w:szCs w:val="20"/>
          <w:shd w:fill="auto" w:val="clear"/>
        </w:rPr>
        <w:t>TRÊS LAGOAS</w:t>
      </w:r>
      <w:r>
        <w:rPr>
          <w:sz w:val="20"/>
          <w:szCs w:val="20"/>
        </w:rPr>
        <w:t xml:space="preserve"> – </w:t>
      </w:r>
      <w:r>
        <w:rPr>
          <w:sz w:val="20"/>
          <w:szCs w:val="20"/>
          <w:shd w:fill="auto" w:val="clear"/>
        </w:rPr>
        <w:t>TRÊS LAGOAS</w:t>
      </w:r>
      <w:r>
        <w:rPr>
          <w:sz w:val="20"/>
          <w:szCs w:val="20"/>
        </w:rPr>
        <w:t>/MS.</w:t>
      </w:r>
    </w:p>
    <w:p>
      <w:pPr>
        <w:pStyle w:val="Normal"/>
        <w:spacing w:lineRule="auto" w:line="240" w:before="0" w:after="240"/>
        <w:ind w:left="4535" w:right="0" w:hanging="0"/>
        <w:rPr/>
      </w:pPr>
      <w:r>
        <w:rPr>
          <w:sz w:val="20"/>
          <w:szCs w:val="20"/>
        </w:rPr>
        <w:t xml:space="preserve">Orientador(a): </w:t>
      </w:r>
      <w:r>
        <w:rPr>
          <w:sz w:val="20"/>
          <w:szCs w:val="20"/>
          <w:shd w:fill="FFFF00" w:val="clear"/>
        </w:rPr>
        <w:t>[NOME DO ORIENTADOR]</w:t>
      </w:r>
    </w:p>
    <w:p>
      <w:pPr>
        <w:pStyle w:val="Normal"/>
        <w:spacing w:lineRule="auto" w:line="360" w:before="200" w:after="200"/>
        <w:rPr/>
      </w:pPr>
      <w:r>
        <w:rPr/>
        <w:t>Aprovado em: ___ / ___ / _____</w:t>
      </w:r>
    </w:p>
    <w:p>
      <w:pPr>
        <w:pStyle w:val="Normal"/>
        <w:spacing w:lineRule="auto" w:line="360" w:before="0" w:after="400"/>
        <w:rPr>
          <w:b/>
          <w:b/>
          <w:bCs/>
        </w:rPr>
      </w:pPr>
      <w:r>
        <w:rPr>
          <w:b/>
          <w:bCs/>
        </w:rPr>
        <w:t>BANCA EXAMINADORA: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240" w:before="520" w:after="0"/>
        <w:rPr/>
      </w:pPr>
      <w:r>
        <w:rPr/>
        <w:t>__________________________________________</w:t>
      </w:r>
    </w:p>
    <w:p>
      <w:pPr>
        <w:pStyle w:val="Normal"/>
        <w:spacing w:lineRule="auto" w:line="240" w:before="0" w:after="0"/>
        <w:rPr/>
      </w:pPr>
      <w:r>
        <w:rPr/>
        <w:t xml:space="preserve">Prof. </w:t>
      </w:r>
      <w:r>
        <w:rPr>
          <w:shd w:fill="FFFF00" w:val="clear"/>
        </w:rPr>
        <w:t>[NOME DO MEMBRO DA BANCA]</w:t>
      </w:r>
    </w:p>
    <w:p>
      <w:pPr>
        <w:pStyle w:val="Normal"/>
        <w:spacing w:lineRule="auto" w:line="360" w:before="30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360" w:before="0" w:after="360"/>
        <w:jc w:val="center"/>
        <w:rPr>
          <w:b/>
          <w:b/>
          <w:bCs/>
        </w:rPr>
      </w:pPr>
      <w:r>
        <w:rPr>
          <w:b/>
          <w:bCs/>
        </w:rPr>
        <w:t>RESUMO</w:t>
      </w:r>
    </w:p>
    <w:p>
      <w:pPr>
        <w:pStyle w:val="Normal"/>
        <w:spacing w:lineRule="auto" w:line="360" w:before="0" w:after="200"/>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cronometraram as etapas de identificação do lubrificante, localização dos pontos e registro, consultando a placa e o manual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360"/>
        <w:rPr/>
      </w:pPr>
      <w:r>
        <w:rPr>
          <w:b/>
          <w:bCs/>
        </w:rPr>
        <w:t xml:space="preserve">Palavras-chave: </w:t>
      </w:r>
      <w:r>
        <w:rPr/>
        <w:t>lubrificação; QR Code; manutenção preventiva; redutor de coroa e rosca sem fim; TPM.</w:t>
      </w:r>
      <w:r>
        <w:br w:type="page"/>
      </w:r>
    </w:p>
    <w:p>
      <w:pPr>
        <w:pStyle w:val="Normal"/>
        <w:spacing w:lineRule="auto" w:line="360" w:before="0" w:after="360"/>
        <w:jc w:val="center"/>
        <w:rPr>
          <w:b/>
          <w:b/>
          <w:bCs/>
        </w:rPr>
      </w:pPr>
      <w:r>
        <w:rPr>
          <w:b/>
          <w:bCs/>
        </w:rPr>
        <w:t>ABSTRACT</w:t>
      </w:r>
    </w:p>
    <w:p>
      <w:pPr>
        <w:pStyle w:val="Normal"/>
        <w:spacing w:lineRule="auto" w:line="360" w:before="0" w:after="200"/>
        <w:ind w:left="0" w:right="0" w:hanging="0"/>
        <w:jc w:val="both"/>
        <w:rPr/>
      </w:pPr>
      <w:r>
        <w:rPr/>
        <w:t xml:space="preserve">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timed the identification, point location and recording steps, consulting the nameplate and the manufacturer's manual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36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29</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23</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27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28</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29</w:t>
      </w:r>
      <w:r>
        <w:rPr>
          <w:sz w:val="24"/>
          <w:szCs w:val="24"/>
        </w:rPr>
        <w:fldChar w:fldCharType="end"/>
      </w:r>
      <w:r>
        <w:br w:type="page"/>
      </w:r>
    </w:p>
    <w:p>
      <w:pPr>
        <w:pStyle w:val="Heading1"/>
        <w:rPr/>
      </w:pPr>
      <w:bookmarkStart w:id="0" w:name="pag08"/>
      <w:bookmarkEnd w:id="0"/>
      <w:r>
        <w:rPr/>
        <w:t>1 INTRODUÇÃO</w:t>
      </w:r>
    </w:p>
    <w:p>
      <w:pPr>
        <w:pStyle w:val="Normal"/>
        <w:widowControl/>
        <w:spacing w:lineRule="auto" w:line="360" w:before="0" w:after="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0"/>
        <w:ind w:left="0" w:right="0" w:firstLine="709"/>
        <w:jc w:val="both"/>
        <w:rPr/>
      </w:pPr>
      <w:r>
        <w:rPr/>
        <w:t>Apesar dessa importância,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 Justificativa</w:t>
      </w:r>
    </w:p>
    <w:p>
      <w:pPr>
        <w:pStyle w:val="Normal"/>
        <w:widowControl/>
        <w:spacing w:lineRule="auto" w:line="360" w:before="0" w:after="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2</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 Delimitação do tema e problema de pesquisa</w:t>
      </w:r>
    </w:p>
    <w:p>
      <w:pPr>
        <w:pStyle w:val="Normal"/>
        <w:widowControl/>
        <w:spacing w:lineRule="auto" w:line="360" w:before="0" w:after="0"/>
        <w:ind w:left="0" w:right="0" w:firstLine="709"/>
        <w:jc w:val="both"/>
        <w:rPr/>
      </w:pPr>
      <w:r>
        <w:rPr/>
        <w:t xml:space="preserve">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w:t>
      </w:r>
      <w:r>
        <w:rPr>
          <w:shd w:fill="FFFF00" w:val="clear"/>
        </w:rPr>
        <w:t>[descrever a aplicação adotada, por exemplo, o acionamento de uma pequena esteira transportadora]</w:t>
      </w:r>
      <w:r>
        <w:rPr/>
        <w:t>.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 Objetivos</w:t>
      </w:r>
    </w:p>
    <w:p>
      <w:pPr>
        <w:pStyle w:val="Heading3"/>
        <w:spacing w:before="0" w:after="414"/>
        <w:rPr/>
      </w:pPr>
      <w:bookmarkStart w:id="4" w:name="pag12"/>
      <w:bookmarkEnd w:id="4"/>
      <w:r>
        <w:rPr/>
        <w:t>1.3.1 Objetivo geral</w:t>
      </w:r>
    </w:p>
    <w:p>
      <w:pPr>
        <w:pStyle w:val="Normal"/>
        <w:widowControl/>
        <w:spacing w:lineRule="auto" w:line="360" w:before="0" w:after="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 Tipo de pesquisa e contribuições esperadas</w:t>
      </w:r>
    </w:p>
    <w:p>
      <w:pPr>
        <w:pStyle w:val="Normal"/>
        <w:widowControl/>
        <w:spacing w:lineRule="auto" w:line="360" w:before="0" w:after="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 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 DESENVOLVIMENTO</w:t>
      </w:r>
    </w:p>
    <w:p>
      <w:pPr>
        <w:pStyle w:val="Heading2"/>
        <w:spacing w:before="0" w:after="414"/>
        <w:rPr/>
      </w:pPr>
      <w:bookmarkStart w:id="9" w:name="pag17"/>
      <w:bookmarkEnd w:id="9"/>
      <w:r>
        <w:rPr/>
        <w:t>2.1 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3</w:t>
      </w:r>
      <w:r>
        <w:rPr/>
        <w:t xml:space="preserve"> Dentro desse conjunto, a lubrificação é uma ação preventiva de execução frequente.</w:t>
      </w:r>
    </w:p>
    <w:p>
      <w:pPr>
        <w:pStyle w:val="Normal"/>
        <w:widowControl/>
        <w:spacing w:lineRule="auto" w:line="360" w:before="0" w:after="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2</w:t>
      </w:r>
    </w:p>
    <w:p>
      <w:pPr>
        <w:pStyle w:val="Normal"/>
        <w:widowControl/>
        <w:spacing w:lineRule="auto" w:line="360" w:before="0" w:after="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4</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2</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2</w:t>
      </w:r>
    </w:p>
    <w:p>
      <w:pPr>
        <w:pStyle w:val="Normal"/>
        <w:widowControl/>
        <w:spacing w:lineRule="auto" w:line="360" w:before="0" w:after="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2</w:t>
      </w:r>
      <w:r>
        <w:rPr/>
        <w:t xml:space="preserve"> Assim, a medição da temperatura da carcaça com um termômetro infravermelho permite estimar a condição de trabalho do óleo sem abrir o redutor.</w:t>
      </w:r>
    </w:p>
    <w:p>
      <w:pPr>
        <w:pStyle w:val="Normal"/>
        <w:widowControl/>
        <w:spacing w:lineRule="auto" w:line="360" w:before="0" w:after="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5</w:t>
      </w:r>
      <w:r>
        <w:rPr/>
        <w:t xml:space="preserve"> Na linha Magma M, o fabricante informa um único volume por tamanho, válido para todas as posições de trabalho (0,87 L no tamanho 06 de um estágio),</w:t>
      </w:r>
      <w:r>
        <w:rPr>
          <w:vertAlign w:val="superscript"/>
        </w:rPr>
        <w:t>2</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0"/>
        <w:ind w:left="0" w:right="0" w:firstLine="709"/>
        <w:jc w:val="both"/>
        <w:rPr/>
      </w:pPr>
      <w:r>
        <w:rPr/>
        <w:t xml:space="preserve">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w:t>
      </w:r>
      <w:r>
        <w:rPr>
          <w:shd w:fill="FFFF00" w:val="clear"/>
        </w:rPr>
        <w:t>[Inserir citação de um autor sobre Gestão Visual e 5S.]</w:t>
      </w:r>
    </w:p>
    <w:p>
      <w:pPr>
        <w:pStyle w:val="Heading3"/>
        <w:rPr/>
      </w:pPr>
      <w:bookmarkStart w:id="13" w:name="pag21"/>
      <w:bookmarkEnd w:id="13"/>
      <w:r>
        <w:rPr/>
        <w:t>2.1.4 QR Code e NFC</w:t>
      </w:r>
    </w:p>
    <w:p>
      <w:pPr>
        <w:pStyle w:val="Normal"/>
        <w:widowControl/>
        <w:spacing w:lineRule="auto" w:line="360" w:before="0" w:after="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6</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 Metodologia</w:t>
      </w:r>
    </w:p>
    <w:p>
      <w:pPr>
        <w:pStyle w:val="Heading3"/>
        <w:spacing w:before="0" w:after="414"/>
        <w:rPr/>
      </w:pPr>
      <w:bookmarkStart w:id="15" w:name="pag23"/>
      <w:bookmarkEnd w:id="15"/>
      <w:r>
        <w:rPr/>
        <w:t>2.2.1 Equipamento estudado</w:t>
      </w:r>
    </w:p>
    <w:p>
      <w:pPr>
        <w:pStyle w:val="Normal"/>
        <w:widowControl/>
        <w:spacing w:lineRule="auto" w:line="360" w:before="0" w:after="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O código corresponde à linha Magma M, tamanho 06, cujas instruções de instalação, lubrificação e manutenção constam do manual da linha coroa e rosca do fabricante</w:t>
      </w:r>
      <w:r>
        <w:rPr>
          <w:vertAlign w:val="superscript"/>
        </w:rPr>
        <w:t>2</w:t>
      </w:r>
      <w:r>
        <w:rPr/>
        <w:t xml:space="preserve"> </w:t>
      </w:r>
      <w:r>
        <w:rPr>
          <w:shd w:fill="FFFF00" w:val="clear"/>
        </w:rPr>
        <w:t>[confirmar a linha e o tamanho com o fabricante ou com o professor]</w:t>
      </w:r>
      <w:r>
        <w:rPr/>
        <w:t>. Os dados da placa, do manual e do levantamento feito pela equipe no próprio redutor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Fundida, pintada em azul sobre fundo vermelho, com sapatas de fixação </w:t>
            </w:r>
            <w:r>
              <w:rPr>
                <w:b w:val="false"/>
                <w:bCs w:val="false"/>
                <w:sz w:val="20"/>
                <w:szCs w:val="20"/>
                <w:shd w:fill="FFFF00" w:val="clear"/>
              </w:rPr>
              <w:t>[confirmar o material]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Rosca sem fim de aço e coroa de bronze </w:t>
            </w:r>
            <w:r>
              <w:rPr>
                <w:b w:val="false"/>
                <w:bCs w:val="false"/>
                <w:sz w:val="20"/>
                <w:szCs w:val="20"/>
                <w:shd w:fill="FFFF00" w:val="clear"/>
              </w:rPr>
              <w:t>[confirmar no manual ou com o fabricante]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1.750 rpm na entrada e 70 rpm na saída (redução 1:25); 1,75 kW; fator de serviço 1 </w:t>
            </w:r>
            <w:r>
              <w:rPr>
                <w:b w:val="false"/>
                <w:bCs w:val="false"/>
                <w:sz w:val="20"/>
                <w:szCs w:val="20"/>
                <w:shd w:fill="FFFF00" w:val="clear"/>
              </w:rPr>
              <w:t>[conferir a potência, pouco legível na placa]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Altura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Altura de 225 mm (medida pela equipe); massa: </w:t>
            </w:r>
            <w:r>
              <w:rPr>
                <w:b w:val="false"/>
                <w:bCs w:val="false"/>
                <w:sz w:val="20"/>
                <w:szCs w:val="20"/>
                <w:shd w:fill="FFFF00" w:val="clear"/>
              </w:rPr>
              <w:t>[pesar o redutor]</w:t>
            </w:r>
          </w:p>
        </w:tc>
      </w:tr>
    </w:tbl>
    <w:p>
      <w:pPr>
        <w:pStyle w:val="Normal"/>
        <w:spacing w:lineRule="auto" w:line="240" w:before="60" w:after="200"/>
        <w:rPr>
          <w:sz w:val="20"/>
          <w:szCs w:val="20"/>
        </w:rPr>
      </w:pPr>
      <w:r>
        <w:rPr>
          <w:sz w:val="20"/>
          <w:szCs w:val="20"/>
        </w:rPr>
        <w:t>Fonte: Placa de identificação do redutor, levantamento dos autores e WEG-Cestari.</w:t>
      </w:r>
      <w:r>
        <w:rPr>
          <w:sz w:val="20"/>
          <w:szCs w:val="20"/>
          <w:vertAlign w:val="superscript"/>
        </w:rPr>
        <w:t>2</w:t>
      </w:r>
    </w:p>
    <w:p>
      <w:pPr>
        <w:pStyle w:val="Normal"/>
        <w:widowControl/>
        <w:spacing w:lineRule="auto" w:line="360" w:before="0" w:after="0"/>
        <w:ind w:left="0" w:right="0" w:firstLine="709"/>
        <w:jc w:val="both"/>
        <w:rPr/>
      </w:pPr>
      <w:r>
        <w:rPr/>
        <w:t>Para a linha Magma M, o fabricante informa um único volume de óleo por tamanho, válido para todas as posições de trabalho: 0,87 L no tamanho 06 de um estágio.</w:t>
      </w:r>
      <w:r>
        <w:rPr>
          <w:vertAlign w:val="superscript"/>
        </w:rPr>
        <w:t>2</w:t>
      </w:r>
      <w:r>
        <w:rPr/>
        <w:t xml:space="preserve">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dois bujões de nível ficam na face lateral oposta ao motor, onde está a tampa cega da rosca sem fim; e o dreno é feito pelo bujão mais baixo dessa face e por um bujão na base. O redutor não possui visor de nível: o nível é conferido pela retirada do bujão, com o equipamento parado e bloqueado, e qual dos dois bujões de nível deve ser usado depende da posição de montagem</w:t>
      </w:r>
      <w:r>
        <w:rPr>
          <w:vertAlign w:val="superscript"/>
        </w:rPr>
        <w:t>5</w:t>
      </w:r>
      <w:r>
        <w:rPr/>
        <w:t xml:space="preserve"> </w:t>
      </w:r>
      <w:r>
        <w:rPr>
          <w:shd w:fill="FFFF00" w:val="clear"/>
        </w:rPr>
        <w:t>[confirmar com o professor ou com o fabricante]</w:t>
      </w:r>
      <w:r>
        <w:rPr/>
        <w:t>. Um adesivo no próprio redutor lembra que o lacre do respiro deve ser retirado antes da operação.</w:t>
      </w:r>
    </w:p>
    <w:p>
      <w:pPr>
        <w:pStyle w:val="Normal"/>
        <w:keepNext w:val="true"/>
        <w:spacing w:lineRule="auto" w:line="240" w:before="200" w:after="80"/>
        <w:jc w:val="center"/>
        <w:rPr>
          <w:b/>
          <w:b/>
          <w:bCs/>
          <w:sz w:val="20"/>
          <w:szCs w:val="20"/>
        </w:rPr>
      </w:pPr>
      <w:bookmarkStart w:id="17" w:name="pag02"/>
      <w:bookmarkEnd w:id="17"/>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por bujão na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Tag RED-001-OLE-04; galão identificado pela cor laranja </w:t>
            </w:r>
            <w:r>
              <w:rPr>
                <w:b w:val="false"/>
                <w:bCs w:val="false"/>
                <w:sz w:val="20"/>
                <w:szCs w:val="20"/>
                <w:shd w:fill="FFFF00" w:val="clear"/>
              </w:rPr>
              <w:t>[confirmar o código e a cor adotados]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7</w:t>
            </w:r>
          </w:p>
        </w:tc>
      </w:tr>
    </w:tbl>
    <w:p>
      <w:pPr>
        <w:pStyle w:val="Normal"/>
        <w:spacing w:lineRule="auto" w:line="240" w:before="60" w:after="200"/>
        <w:rPr>
          <w:sz w:val="20"/>
          <w:szCs w:val="20"/>
        </w:rPr>
      </w:pPr>
      <w:r>
        <w:rPr>
          <w:sz w:val="20"/>
          <w:szCs w:val="20"/>
        </w:rPr>
        <w:t>Fonte: Elaborado pelos autores com dados da placa de identificação e de WEG-Cestari.</w:t>
      </w:r>
      <w:r>
        <w:rPr>
          <w:sz w:val="20"/>
          <w:szCs w:val="20"/>
          <w:vertAlign w:val="superscript"/>
        </w:rPr>
        <w:t>2</w:t>
      </w:r>
    </w:p>
    <w:p>
      <w:pPr>
        <w:pStyle w:val="Heading3"/>
        <w:rPr/>
      </w:pPr>
      <w:bookmarkStart w:id="18" w:name="pag24"/>
      <w:bookmarkEnd w:id="18"/>
      <w:r>
        <w:rPr/>
        <w:t>2.2.2 Ficha digital e protótipo</w:t>
      </w:r>
    </w:p>
    <w:p>
      <w:pPr>
        <w:pStyle w:val="Normal"/>
        <w:widowControl/>
        <w:spacing w:lineRule="auto" w:line="360" w:before="0" w:after="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0"/>
        <w:ind w:left="0" w:right="0" w:firstLine="709"/>
        <w:jc w:val="both"/>
        <w:rPr/>
      </w:pPr>
      <w:r>
        <w:rPr/>
        <w:t xml:space="preserve">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w:t>
      </w:r>
      <w:r>
        <w:rPr>
          <w:shd w:fill="FFFF00" w:val="clear"/>
        </w:rPr>
        <w:t>[confirmar a regra com o professor e com o procedimento de segurança]</w:t>
      </w:r>
      <w:r>
        <w:rPr/>
        <w:t>;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2</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2</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0"/>
        <w:ind w:left="0" w:right="0" w:firstLine="709"/>
        <w:jc w:val="both"/>
        <w:rPr/>
      </w:pPr>
      <w:r>
        <w:rPr/>
        <w:t xml:space="preserve">A ficha também informa como requisitar o lubrificante ao almoxarifado. Cada óleo recebe um código de identificação (tag) no mesmo padrão dos códigos das peças mostrados no roteiro de inspeção, formado pelo código do equipamento e pelo código do item (RED-001-OLE-04), e uma cor, que é a mesma do galão em que o produto é armazenado </w:t>
      </w:r>
      <w:r>
        <w:rPr>
          <w:shd w:fill="FFFF00" w:val="clear"/>
        </w:rPr>
        <w:t>[confirmar o código e a cor adotados]</w:t>
      </w:r>
      <w:r>
        <w:rPr/>
        <w:t>. O tag e a cor aparecem na ficha, na orientação de troca e na etiqueta fixada no equipamento, o que reduz o risco de aplicação de um produto incorreto.</w:t>
      </w:r>
    </w:p>
    <w:p>
      <w:pPr>
        <w:pStyle w:val="Normal"/>
        <w:widowControl/>
        <w:spacing w:lineRule="auto" w:line="360" w:before="0" w:after="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Heading3"/>
        <w:rPr/>
      </w:pPr>
      <w:bookmarkStart w:id="19" w:name="pag25"/>
      <w:bookmarkEnd w:id="19"/>
      <w:r>
        <w:rPr/>
        <w:t>2.2.3 Cronometragem</w:t>
      </w:r>
    </w:p>
    <w:p>
      <w:pPr>
        <w:pStyle w:val="Normal"/>
        <w:widowControl/>
        <w:spacing w:lineRule="auto" w:line="360" w:before="0" w:after="0"/>
        <w:ind w:left="0" w:right="0" w:firstLine="709"/>
        <w:jc w:val="both"/>
        <w:rPr/>
      </w:pPr>
      <w:r>
        <w:rPr/>
        <w:t xml:space="preserve">Para avaliar o ganho de tempo, foi realizada uma cronometragem em ambiente didático com cinco participantes </w:t>
      </w:r>
      <w:r>
        <w:rPr>
          <w:shd w:fill="FFFF00" w:val="clear"/>
        </w:rPr>
        <w:t>[descrever: alunos da turma de Técnico em Mecânica, por exemplo]</w:t>
      </w:r>
      <w:r>
        <w:rPr/>
        <w:t xml:space="preserve">, cada um executando a tarefa pelos dois métodos </w:t>
      </w:r>
      <w:r>
        <w:rPr>
          <w:shd w:fill="FFFF00" w:val="clear"/>
        </w:rPr>
        <w:t>[informar o local: oficina de mecânica, junto ao redutor]</w:t>
      </w:r>
      <w:r>
        <w:rPr/>
        <w:t xml:space="preserve">. No método tradicional, o participante consultou a placa de identificação e o manual da linha coroa e rosca do fabricante </w:t>
      </w:r>
      <w:r>
        <w:rPr>
          <w:shd w:fill="FFFF00" w:val="clear"/>
        </w:rPr>
        <w:t>[impresso ou em PDF]</w:t>
      </w:r>
      <w:r>
        <w:rPr/>
        <w:t xml:space="preserve"> e registrou a intervenção em formulário de papel. No método com QR Code, escaneou a etiqueta impressa, afixada </w:t>
      </w:r>
      <w:r>
        <w:rPr>
          <w:shd w:fill="FFFF00" w:val="clear"/>
        </w:rPr>
        <w:t>[no redutor ou junto a ele]</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0" w:name="pag03"/>
      <w:bookmarkEnd w:id="20"/>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rPr>
          <w:sz w:val="20"/>
          <w:szCs w:val="20"/>
        </w:rPr>
      </w:pPr>
      <w:r>
        <w:rPr>
          <w:sz w:val="20"/>
          <w:szCs w:val="20"/>
        </w:rPr>
        <w:t>Fonte: Elaborado pelos autores (2026).</w:t>
      </w:r>
    </w:p>
    <w:p>
      <w:pPr>
        <w:pStyle w:val="Normal"/>
        <w:widowControl/>
        <w:spacing w:lineRule="auto" w:line="360" w:before="0" w:after="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cronometragem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1" w:name="pag26"/>
      <w:bookmarkEnd w:id="21"/>
      <w:r>
        <w:rPr/>
        <w:t>2.2.4 Análise dos dados e retorno financeiro</w:t>
      </w:r>
    </w:p>
    <w:p>
      <w:pPr>
        <w:pStyle w:val="Normal"/>
        <w:widowControl/>
        <w:spacing w:lineRule="auto" w:line="360" w:before="0" w:after="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2" w:name="pag27"/>
      <w:bookmarkEnd w:id="22"/>
      <w:r>
        <w:rPr/>
        <w:t>2.3 Resultados e Discussões</w:t>
      </w:r>
    </w:p>
    <w:p>
      <w:pPr>
        <w:pStyle w:val="Heading3"/>
        <w:spacing w:before="0" w:after="414"/>
        <w:rPr/>
      </w:pPr>
      <w:bookmarkStart w:id="23" w:name="pag28"/>
      <w:bookmarkEnd w:id="23"/>
      <w:r>
        <w:rPr/>
        <w:t>2.3.1 Dados coletados</w:t>
      </w:r>
    </w:p>
    <w:p>
      <w:pPr>
        <w:pStyle w:val="Normal"/>
        <w:widowControl/>
        <w:spacing w:lineRule="auto" w:line="360" w:before="0" w:after="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cronometragem.]</w:t>
      </w:r>
    </w:p>
    <w:p>
      <w:pPr>
        <w:pStyle w:val="Normal"/>
        <w:keepNext w:val="true"/>
        <w:spacing w:lineRule="auto" w:line="240" w:before="200" w:after="80"/>
        <w:jc w:val="center"/>
        <w:rPr>
          <w:b/>
          <w:b/>
          <w:bCs/>
          <w:sz w:val="20"/>
          <w:szCs w:val="20"/>
        </w:rPr>
      </w:pPr>
      <w:bookmarkStart w:id="24" w:name="pag05"/>
      <w:bookmarkEnd w:id="24"/>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5" w:name="pag06"/>
      <w:bookmarkEnd w:id="25"/>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Normal"/>
        <w:widowControl/>
        <w:spacing w:lineRule="auto" w:line="360" w:before="0" w:after="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6" w:name="pag07"/>
      <w:bookmarkEnd w:id="26"/>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rPr>
          <w:sz w:val="20"/>
          <w:szCs w:val="20"/>
        </w:rPr>
      </w:pPr>
      <w:r>
        <w:rPr>
          <w:sz w:val="20"/>
          <w:szCs w:val="20"/>
        </w:rPr>
        <w:t>Fonte: Dados da pesquisa (2026).</w:t>
      </w:r>
    </w:p>
    <w:p>
      <w:pPr>
        <w:pStyle w:val="Heading3"/>
        <w:rPr/>
      </w:pPr>
      <w:bookmarkStart w:id="27" w:name="pag29"/>
      <w:bookmarkEnd w:id="27"/>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2</w:t>
      </w:r>
    </w:p>
    <w:p>
      <w:pPr>
        <w:pStyle w:val="Normal"/>
        <w:widowControl/>
        <w:spacing w:lineRule="auto" w:line="360" w:before="0" w:after="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8" w:name="pag30"/>
      <w:bookmarkEnd w:id="28"/>
      <w:r>
        <w:rPr/>
        <w:t>3 CONCLUSÃO</w:t>
      </w:r>
    </w:p>
    <w:p>
      <w:pPr>
        <w:pStyle w:val="Normal"/>
        <w:widowControl/>
        <w:spacing w:lineRule="auto" w:line="360" w:before="0" w:after="0"/>
        <w:ind w:left="0" w:right="0" w:firstLine="709"/>
        <w:jc w:val="both"/>
        <w:rPr/>
      </w:pPr>
      <w:r>
        <w:rPr/>
        <w:t xml:space="preserve">O trabalho teve como objetivo reduzir o tempo do mecânico na identificação e no registro da lubrificação de um redutor de coroa e rosca sem fim WEG-Cestari, da linha Magma M,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retirado,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29" w:name="pag31"/>
      <w:bookmarkEnd w:id="29"/>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3.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4.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5.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6.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7. BRASIL. Conselho Nacional do Meio Ambiente. </w:t>
      </w:r>
      <w:r>
        <w:rPr>
          <w:b/>
          <w:bCs/>
        </w:rPr>
        <w:t>Resolução CONAMA nº 362, de 23 de junho de 2005</w:t>
      </w:r>
      <w:r>
        <w:rPr/>
        <w:t>. Dispõe sobre o recolhimento, coleta e destinação final de óleo lubrificante usado ou contaminado. Brasília, DF: CONAMA, 2005.</w:t>
      </w:r>
      <w:r>
        <w:br w:type="page"/>
      </w:r>
    </w:p>
    <w:p>
      <w:pPr>
        <w:pStyle w:val="Normal"/>
        <w:spacing w:lineRule="auto" w:line="360" w:before="0" w:after="360"/>
        <w:jc w:val="center"/>
        <w:rPr>
          <w:b/>
          <w:b/>
          <w:bCs/>
        </w:rPr>
      </w:pPr>
      <w:bookmarkStart w:id="30" w:name="pag32"/>
      <w:bookmarkEnd w:id="30"/>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1" w:name="pag33"/>
      <w:bookmarkEnd w:id="31"/>
      <w:r>
        <w:rPr>
          <w:b/>
          <w:bCs/>
        </w:rPr>
        <w:t>APÊNDICE B – ESPECIFICAÇÃO DA ETIQUETA E DO QR CODE</w:t>
      </w:r>
    </w:p>
    <w:p>
      <w:pPr>
        <w:pStyle w:val="Normal"/>
        <w:widowControl/>
        <w:spacing w:lineRule="auto" w:line="360" w:before="0" w:after="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0"/>
        <w:ind w:left="0" w:right="0" w:firstLine="709"/>
        <w:jc w:val="both"/>
        <w:rPr/>
      </w:pPr>
      <w:r>
        <w:rPr/>
        <w:t xml:space="preserve">A etiqueta não deve ser colada sobre a placa de identificação do fabricante, sobre o respiro ou os bujões, nem em regiões que esquentam ou recebem respingos de óleo. No redutor estudado, sugere-se a parte superior da face lateral oposta ao motor, que é lisa e fica visível </w:t>
      </w:r>
      <w:r>
        <w:rPr>
          <w:shd w:fill="FFFF00" w:val="clear"/>
        </w:rPr>
        <w:t>[confirmar o local de fixação]</w:t>
      </w:r>
      <w:r>
        <w:rPr/>
        <w:t xml:space="preserve">, ou uma plaqueta de alumínio presa junto à fixação do redutor, em local de fácil acesso. Na cronometragem, a etiqueta foi impressa em papel e afixada em </w:t>
      </w:r>
      <w:r>
        <w:rPr>
          <w:shd w:fill="FFFF00" w:val="clear"/>
        </w:rPr>
        <w:t>[descrever o suporte usado]</w:t>
      </w:r>
      <w:r>
        <w:rPr/>
        <w:t>.</w:t>
      </w:r>
    </w:p>
    <w:p>
      <w:pPr>
        <w:pStyle w:val="Normal"/>
        <w:widowControl/>
        <w:spacing w:lineRule="auto" w:line="360" w:before="0" w:after="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6</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2" w:name="pag34"/>
      <w:bookmarkEnd w:id="32"/>
      <w:r>
        <w:rPr>
          <w:b/>
          <w:bCs/>
        </w:rPr>
        <w:t>APÊNDICE C – TELAS DO PROTÓTIPO</w:t>
      </w:r>
    </w:p>
    <w:p>
      <w:pPr>
        <w:pStyle w:val="Normal"/>
        <w:keepNext w:val="true"/>
        <w:spacing w:lineRule="auto" w:line="240" w:before="200" w:after="80"/>
        <w:jc w:val="center"/>
        <w:rPr>
          <w:b/>
          <w:b/>
          <w:bCs/>
          <w:sz w:val="20"/>
          <w:szCs w:val="20"/>
        </w:rPr>
      </w:pPr>
      <w:bookmarkStart w:id="33" w:name="pag04"/>
      <w:bookmarkEnd w:id="33"/>
      <w:r>
        <w:rPr>
          <w:b/>
          <w:bCs/>
          <w:sz w:val="20"/>
          <w:szCs w:val="20"/>
        </w:rPr>
        <w:t>Figura 1 – Telas da ficha digital do redutor RED-001: segurança e vida útil do óleo, com as datas da última e da próxima troca (à esquerda); modelo tridimensional com a localização dos bujões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3"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ela1" descr=""/>
                    <pic:cNvPicPr>
                      <a:picLocks noChangeAspect="1" noChangeArrowheads="1"/>
                    </pic:cNvPicPr>
                  </pic:nvPicPr>
                  <pic:blipFill>
                    <a:blip r:embed="rId4"/>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4"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2"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3"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rPr>
          <w:sz w:val="20"/>
          <w:szCs w:val="20"/>
        </w:rPr>
      </w:pPr>
      <w:r>
        <w:rPr>
          <w:sz w:val="20"/>
          <w:szCs w:val="20"/>
        </w:rPr>
        <w:t>Fonte: Elaborado pelos autores (2026).</w:t>
      </w:r>
    </w:p>
    <w:sectPr>
      <w:headerReference w:type="default" r:id="rId7"/>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2">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0">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16">
          <wp:simplePos x="0" y="0"/>
          <wp:positionH relativeFrom="page">
            <wp:posOffset>0</wp:posOffset>
          </wp:positionH>
          <wp:positionV relativeFrom="page">
            <wp:posOffset>0</wp:posOffset>
          </wp:positionV>
          <wp:extent cx="7560310" cy="10692130"/>
          <wp:effectExtent l="0" t="0" r="0" b="0"/>
          <wp:wrapNone/>
          <wp:docPr id="6"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29</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