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1.xml.rels" ContentType="application/vnd.openxmlformats-package.relationships+xml"/>
  <Override PartName="/word/_rels/header3.xml.rels" ContentType="application/vnd.openxmlformats-package.relationships+xml"/>
  <Override PartName="/word/_rels/header4.xml.rels" ContentType="application/vnd.openxmlformats-package.relationships+xml"/>
  <Override PartName="/word/numbering.xml" ContentType="application/vnd.openxmlformats-officedocument.wordprocessingml.numbering+xml"/>
  <Override PartName="/word/footer4.xml" ContentType="application/vnd.openxmlformats-officedocument.wordprocessingml.footer+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header3.xml" ContentType="application/vnd.openxmlformats-officedocument.wordprocessingml.header+xml"/>
  <Override PartName="/word/media/image1.png" ContentType="image/png"/>
  <Override PartName="/word/fontTable.xml" ContentType="application/vnd.openxmlformats-officedocument.wordprocessingml.fontTable+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Override PartName="/word/footer5.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567" w:leader="none"/>
        </w:tabs>
        <w:rPr/>
      </w:pPr>
      <w:r>
        <w:rPr/>
      </w:r>
    </w:p>
    <w:p>
      <w:pPr>
        <w:pStyle w:val="Normal"/>
        <w:rPr/>
      </w:pPr>
      <w:r>
        <w:rPr/>
      </w:r>
    </w:p>
    <w:p>
      <w:pPr>
        <w:pStyle w:val="Normal"/>
        <w:jc w:val="center"/>
        <w:rPr>
          <w:rFonts w:ascii="Arial" w:hAnsi="Arial" w:eastAsia="Calibri" w:cs="Arial"/>
          <w:b/>
          <w:b/>
          <w:sz w:val="24"/>
          <w:szCs w:val="24"/>
        </w:rPr>
      </w:pPr>
      <w:r>
        <w:rPr>
          <w:rFonts w:eastAsia="Calibri" w:cs="Arial" w:ascii="Arial" w:hAnsi="Arial"/>
          <w:b/>
          <w:sz w:val="24"/>
          <w:szCs w:val="24"/>
        </w:rPr>
        <w:t>SERVIÇO NACIONAL DE APRENDIZAGEM INDUSTRIAL</w:t>
      </w:r>
    </w:p>
    <w:p>
      <w:pPr>
        <w:pStyle w:val="Normal"/>
        <w:spacing w:lineRule="auto" w:line="240"/>
        <w:jc w:val="center"/>
        <w:rPr>
          <w:rFonts w:ascii="Arial" w:hAnsi="Arial" w:eastAsia="Calibri" w:cs="Arial"/>
          <w:b/>
          <w:b/>
          <w:sz w:val="24"/>
          <w:szCs w:val="24"/>
        </w:rPr>
      </w:pPr>
      <w:r>
        <w:rPr>
          <w:rFonts w:eastAsia="Calibri" w:cs="Arial" w:ascii="Arial" w:hAnsi="Arial"/>
          <w:b/>
          <w:sz w:val="24"/>
          <w:szCs w:val="24"/>
        </w:rPr>
        <w:t>SENAI TRÊS LAGOAS</w:t>
      </w:r>
    </w:p>
    <w:p>
      <w:pPr>
        <w:pStyle w:val="Normal"/>
        <w:spacing w:lineRule="auto" w:line="240"/>
        <w:jc w:val="center"/>
        <w:rPr>
          <w:rFonts w:ascii="Arial" w:hAnsi="Arial" w:eastAsia="Calibri" w:cs="Arial"/>
          <w:b/>
          <w:b/>
          <w:sz w:val="24"/>
          <w:szCs w:val="24"/>
        </w:rPr>
      </w:pPr>
      <w:r>
        <w:rPr>
          <w:rFonts w:eastAsia="Calibri" w:cs="Arial" w:ascii="Arial" w:hAnsi="Arial"/>
          <w:b/>
          <w:sz w:val="24"/>
          <w:szCs w:val="24"/>
        </w:rPr>
        <w:t xml:space="preserve">TÉCNICO EM </w:t>
      </w:r>
      <w:r>
        <w:rPr>
          <w:rFonts w:eastAsia="Calibri" w:cs="Arial" w:ascii="Arial" w:hAnsi="Arial" w:eastAsiaTheme="minorHAnsi"/>
          <w:b/>
          <w:sz w:val="24"/>
          <w:szCs w:val="24"/>
          <w:shd w:fill="auto" w:val="clear"/>
        </w:rPr>
        <w:t xml:space="preserve"> MECÂNICA</w:t>
      </w:r>
    </w:p>
    <w:p>
      <w:pPr>
        <w:pStyle w:val="Normal"/>
        <w:jc w:val="center"/>
        <w:rPr>
          <w:rFonts w:ascii="Arial" w:hAnsi="Arial" w:eastAsia="Calibri" w:cs="Arial"/>
          <w:b/>
          <w:b/>
          <w:sz w:val="24"/>
          <w:szCs w:val="24"/>
        </w:rPr>
      </w:pPr>
      <w:r>
        <w:rPr>
          <w:rFonts w:eastAsia="Calibri" w:cs="Arial" w:ascii="Arial" w:hAnsi="Arial"/>
          <w:b/>
          <w:sz w:val="24"/>
          <w:szCs w:val="24"/>
        </w:rPr>
      </w:r>
    </w:p>
    <w:p>
      <w:pPr>
        <w:pStyle w:val="Normal"/>
        <w:jc w:val="center"/>
        <w:rPr>
          <w:rFonts w:ascii="Arial" w:hAnsi="Arial" w:eastAsia="Calibri" w:cs="Arial"/>
          <w:b/>
          <w:b/>
          <w:sz w:val="24"/>
          <w:szCs w:val="24"/>
        </w:rPr>
      </w:pPr>
      <w:r>
        <w:rPr>
          <w:rFonts w:eastAsia="Calibri" w:cs="Arial" w:ascii="Arial" w:hAnsi="Arial"/>
          <w:b/>
          <w:sz w:val="24"/>
          <w:szCs w:val="24"/>
        </w:rPr>
      </w:r>
    </w:p>
    <w:p>
      <w:pPr>
        <w:pStyle w:val="Normal"/>
        <w:jc w:val="center"/>
        <w:rPr>
          <w:rFonts w:ascii="Arial" w:hAnsi="Arial" w:eastAsia="Calibri" w:cs="Arial"/>
          <w:b/>
          <w:b/>
          <w:sz w:val="24"/>
          <w:szCs w:val="24"/>
        </w:rPr>
      </w:pPr>
      <w:r>
        <w:rPr>
          <w:rFonts w:eastAsia="Calibri" w:cs="Arial" w:ascii="Arial" w:hAnsi="Arial"/>
          <w:b/>
          <w:sz w:val="24"/>
          <w:szCs w:val="24"/>
        </w:rPr>
      </w:r>
    </w:p>
    <w:p>
      <w:pPr>
        <w:pStyle w:val="Normal"/>
        <w:jc w:val="center"/>
        <w:rPr>
          <w:rFonts w:ascii="Arial" w:hAnsi="Arial" w:eastAsia="Calibri" w:cs="Arial"/>
          <w:b/>
          <w:b/>
          <w:sz w:val="24"/>
          <w:szCs w:val="24"/>
        </w:rPr>
      </w:pPr>
      <w:r>
        <w:rPr>
          <w:rFonts w:eastAsia="Calibri" w:cs="Arial" w:ascii="Arial" w:hAnsi="Arial"/>
          <w:b/>
          <w:sz w:val="24"/>
          <w:szCs w:val="24"/>
        </w:rPr>
      </w:r>
    </w:p>
    <w:p>
      <w:pPr>
        <w:pStyle w:val="Normal"/>
        <w:jc w:val="center"/>
        <w:rPr>
          <w:rFonts w:ascii="Arial" w:hAnsi="Arial" w:eastAsia="Calibri" w:cs="Arial"/>
          <w:b/>
          <w:b/>
          <w:sz w:val="24"/>
          <w:szCs w:val="24"/>
        </w:rPr>
      </w:pPr>
      <w:r>
        <w:rPr>
          <w:rFonts w:eastAsia="Calibri" w:cs="Arial" w:ascii="Arial" w:hAnsi="Arial"/>
          <w:b/>
          <w:sz w:val="24"/>
          <w:szCs w:val="24"/>
        </w:rPr>
      </w:r>
    </w:p>
    <w:p>
      <w:pPr>
        <w:pStyle w:val="Normal"/>
        <w:jc w:val="center"/>
        <w:rPr>
          <w:rFonts w:ascii="Arial" w:hAnsi="Arial" w:eastAsia="Calibri" w:cs="Arial"/>
          <w:b/>
          <w:b/>
          <w:sz w:val="24"/>
          <w:szCs w:val="24"/>
        </w:rPr>
      </w:pPr>
      <w:r>
        <w:rPr>
          <w:rFonts w:eastAsia="Calibri" w:cs="Arial" w:ascii="Arial" w:hAnsi="Arial"/>
          <w:b/>
          <w:sz w:val="24"/>
          <w:szCs w:val="24"/>
        </w:rPr>
      </w:r>
    </w:p>
    <w:p>
      <w:pPr>
        <w:pStyle w:val="Normal"/>
        <w:jc w:val="center"/>
        <w:rPr>
          <w:rFonts w:ascii="Arial" w:hAnsi="Arial" w:eastAsia="Calibri" w:cs="Arial"/>
          <w:b/>
          <w:b/>
          <w:sz w:val="24"/>
          <w:szCs w:val="24"/>
        </w:rPr>
      </w:pPr>
      <w:r>
        <w:rPr>
          <w:rFonts w:eastAsia="Calibri" w:cs="Arial" w:ascii="Arial" w:hAnsi="Arial"/>
          <w:b/>
          <w:sz w:val="24"/>
          <w:szCs w:val="24"/>
        </w:rPr>
        <w:t xml:space="preserve">KARINE DIONISIO CORRÊA </w:t>
      </w:r>
    </w:p>
    <w:p>
      <w:pPr>
        <w:pStyle w:val="Normal"/>
        <w:jc w:val="center"/>
        <w:rPr>
          <w:rFonts w:ascii="Arial" w:hAnsi="Arial" w:eastAsia="Calibri" w:cs="Arial"/>
          <w:b/>
          <w:b/>
          <w:sz w:val="24"/>
          <w:szCs w:val="24"/>
        </w:rPr>
      </w:pPr>
      <w:r>
        <w:rPr>
          <w:rFonts w:eastAsia="Calibri" w:cs="Arial" w:ascii="Arial" w:hAnsi="Arial"/>
          <w:b/>
          <w:sz w:val="24"/>
          <w:szCs w:val="24"/>
        </w:rPr>
        <w:t>WESLEY VENERANDO DA SILVA</w:t>
      </w:r>
    </w:p>
    <w:p>
      <w:pPr>
        <w:pStyle w:val="Normal"/>
        <w:jc w:val="center"/>
        <w:rPr>
          <w:rFonts w:ascii="Arial" w:hAnsi="Arial" w:eastAsia="Calibri" w:cs="Arial"/>
          <w:b/>
          <w:b/>
          <w:sz w:val="24"/>
          <w:szCs w:val="24"/>
        </w:rPr>
      </w:pPr>
      <w:r>
        <w:rPr>
          <w:rFonts w:eastAsia="Calibri" w:cs="Arial" w:ascii="Arial" w:hAnsi="Arial"/>
          <w:b/>
          <w:sz w:val="24"/>
          <w:szCs w:val="24"/>
        </w:rPr>
      </w:r>
    </w:p>
    <w:p>
      <w:pPr>
        <w:pStyle w:val="Normal"/>
        <w:jc w:val="center"/>
        <w:rPr>
          <w:rFonts w:ascii="Arial" w:hAnsi="Arial" w:eastAsia="Calibri" w:cs="Arial"/>
          <w:b/>
          <w:b/>
          <w:sz w:val="24"/>
          <w:szCs w:val="24"/>
        </w:rPr>
      </w:pPr>
      <w:r>
        <w:rPr>
          <w:rFonts w:eastAsia="Calibri" w:cs="Arial" w:ascii="Arial" w:hAnsi="Arial"/>
          <w:b/>
          <w:sz w:val="24"/>
          <w:szCs w:val="24"/>
        </w:rPr>
      </w:r>
    </w:p>
    <w:p>
      <w:pPr>
        <w:pStyle w:val="Normal"/>
        <w:jc w:val="center"/>
        <w:rPr>
          <w:rFonts w:ascii="Arial" w:hAnsi="Arial" w:eastAsia="Calibri" w:cs="Arial"/>
          <w:b/>
          <w:b/>
          <w:sz w:val="24"/>
          <w:szCs w:val="24"/>
        </w:rPr>
      </w:pPr>
      <w:r>
        <w:rPr>
          <w:rFonts w:eastAsia="Calibri" w:cs="Arial" w:ascii="Arial" w:hAnsi="Arial"/>
          <w:b/>
          <w:sz w:val="24"/>
          <w:szCs w:val="24"/>
        </w:rPr>
      </w:r>
    </w:p>
    <w:p>
      <w:pPr>
        <w:pStyle w:val="Normal"/>
        <w:jc w:val="center"/>
        <w:rPr>
          <w:rFonts w:ascii="Arial" w:hAnsi="Arial" w:eastAsia="Calibri" w:cs="Arial"/>
          <w:b/>
          <w:b/>
          <w:sz w:val="24"/>
          <w:szCs w:val="24"/>
        </w:rPr>
      </w:pPr>
      <w:r>
        <w:rPr>
          <w:rFonts w:eastAsia="Calibri" w:cs="Arial" w:ascii="Arial" w:hAnsi="Arial"/>
          <w:b/>
          <w:sz w:val="24"/>
          <w:szCs w:val="24"/>
        </w:rPr>
      </w:r>
    </w:p>
    <w:p>
      <w:pPr>
        <w:pStyle w:val="Normal"/>
        <w:jc w:val="center"/>
        <w:rPr>
          <w:rFonts w:ascii="Arial" w:hAnsi="Arial" w:eastAsia="Calibri" w:cs="Arial"/>
          <w:b/>
          <w:b/>
          <w:sz w:val="24"/>
          <w:szCs w:val="24"/>
        </w:rPr>
      </w:pPr>
      <w:r>
        <w:rPr>
          <w:rFonts w:eastAsia="Calibri" w:cs="Arial" w:ascii="Arial" w:hAnsi="Arial"/>
          <w:b/>
          <w:sz w:val="24"/>
          <w:szCs w:val="24"/>
        </w:rPr>
      </w:r>
    </w:p>
    <w:p>
      <w:pPr>
        <w:pStyle w:val="Normal"/>
        <w:jc w:val="center"/>
        <w:rPr>
          <w:rFonts w:ascii="Arial" w:hAnsi="Arial" w:eastAsia="Calibri" w:cs="Arial"/>
          <w:b/>
          <w:b/>
          <w:sz w:val="24"/>
          <w:szCs w:val="24"/>
        </w:rPr>
      </w:pPr>
      <w:r>
        <w:rPr>
          <w:rFonts w:eastAsia="Calibri" w:cs="Arial" w:ascii="Arial" w:hAnsi="Arial"/>
          <w:b/>
          <w:sz w:val="24"/>
          <w:szCs w:val="24"/>
        </w:rPr>
        <w:t>AVALIAÇÃO DA QUALIDADE E DAS DESCONTINUIDADES EM JUNTAS SOLDADAS EM AÇO CARBONO: UM ESTUDO COMPARATIVO ENTRE OS PROCESSOS MIG/MAG, TIG E ELETRODO REVESTIDO</w:t>
      </w:r>
    </w:p>
    <w:p>
      <w:pPr>
        <w:pStyle w:val="Normal"/>
        <w:jc w:val="center"/>
        <w:rPr>
          <w:rFonts w:ascii="Arial" w:hAnsi="Arial" w:eastAsia="Calibri" w:cs="Arial"/>
          <w:b/>
          <w:b/>
          <w:sz w:val="24"/>
          <w:szCs w:val="24"/>
        </w:rPr>
      </w:pPr>
      <w:r>
        <w:rPr>
          <w:rFonts w:eastAsia="Calibri" w:cs="Arial" w:ascii="Arial" w:hAnsi="Arial"/>
          <w:b/>
          <w:sz w:val="24"/>
          <w:szCs w:val="24"/>
        </w:rPr>
      </w:r>
    </w:p>
    <w:p>
      <w:pPr>
        <w:pStyle w:val="Normal"/>
        <w:jc w:val="center"/>
        <w:rPr>
          <w:rFonts w:ascii="Arial" w:hAnsi="Arial" w:eastAsia="Calibri" w:cs="Arial"/>
          <w:b/>
          <w:b/>
          <w:sz w:val="24"/>
          <w:szCs w:val="24"/>
        </w:rPr>
      </w:pPr>
      <w:r>
        <w:rPr>
          <w:rFonts w:eastAsia="Calibri" w:cs="Arial" w:ascii="Arial" w:hAnsi="Arial"/>
          <w:b/>
          <w:sz w:val="24"/>
          <w:szCs w:val="24"/>
        </w:rPr>
      </w:r>
    </w:p>
    <w:p>
      <w:pPr>
        <w:pStyle w:val="Normal"/>
        <w:jc w:val="center"/>
        <w:rPr>
          <w:rFonts w:ascii="Arial" w:hAnsi="Arial" w:eastAsia="Calibri" w:cs="Arial"/>
          <w:b/>
          <w:b/>
          <w:sz w:val="24"/>
          <w:szCs w:val="24"/>
        </w:rPr>
      </w:pPr>
      <w:r>
        <w:rPr>
          <w:rFonts w:eastAsia="Calibri" w:cs="Arial" w:ascii="Arial" w:hAnsi="Arial"/>
          <w:b/>
          <w:sz w:val="24"/>
          <w:szCs w:val="24"/>
        </w:rPr>
      </w:r>
    </w:p>
    <w:p>
      <w:pPr>
        <w:pStyle w:val="Normal"/>
        <w:jc w:val="center"/>
        <w:rPr>
          <w:rFonts w:ascii="Arial" w:hAnsi="Arial" w:eastAsia="Calibri" w:cs="Arial"/>
          <w:b/>
          <w:b/>
          <w:sz w:val="24"/>
          <w:szCs w:val="24"/>
        </w:rPr>
      </w:pPr>
      <w:r>
        <w:rPr>
          <w:rFonts w:eastAsia="Calibri" w:cs="Arial" w:ascii="Arial" w:hAnsi="Arial"/>
          <w:b/>
          <w:sz w:val="24"/>
          <w:szCs w:val="24"/>
        </w:rPr>
      </w:r>
    </w:p>
    <w:p>
      <w:pPr>
        <w:pStyle w:val="Normal"/>
        <w:rPr>
          <w:rFonts w:ascii="Arial" w:hAnsi="Arial" w:eastAsia="Calibri" w:cs="Arial"/>
          <w:b/>
          <w:b/>
          <w:sz w:val="24"/>
          <w:szCs w:val="24"/>
        </w:rPr>
      </w:pPr>
      <w:r>
        <w:rPr>
          <w:rFonts w:eastAsia="Calibri" w:cs="Arial" w:ascii="Arial" w:hAnsi="Arial"/>
          <w:b/>
          <w:sz w:val="24"/>
          <w:szCs w:val="24"/>
        </w:rPr>
      </w:r>
    </w:p>
    <w:p>
      <w:pPr>
        <w:pStyle w:val="Normal"/>
        <w:jc w:val="center"/>
        <w:rPr>
          <w:color w:val="auto"/>
          <w:highlight w:val="none"/>
          <w:shd w:fill="auto" w:val="clear"/>
        </w:rPr>
      </w:pPr>
      <w:r>
        <w:rPr>
          <w:rFonts w:eastAsia="Calibri" w:cs="Arial" w:ascii="Arial" w:hAnsi="Arial"/>
          <w:b/>
          <w:color w:val="000000"/>
          <w:sz w:val="24"/>
          <w:szCs w:val="24"/>
          <w:shd w:fill="auto" w:val="clear"/>
        </w:rPr>
        <w:t>TRÊS LAGOAS</w:t>
      </w:r>
    </w:p>
    <w:p>
      <w:pPr>
        <w:sectPr>
          <w:headerReference w:type="default" r:id="rId2"/>
          <w:footerReference w:type="default" r:id="rId3"/>
          <w:type w:val="nextPage"/>
          <w:pgSz w:w="11906" w:h="16838"/>
          <w:pgMar w:left="1701" w:right="1134" w:gutter="0" w:header="708" w:top="1985" w:footer="708" w:bottom="2098"/>
          <w:pgNumType w:fmt="decimal"/>
          <w:formProt w:val="false"/>
          <w:textDirection w:val="lrTb"/>
          <w:docGrid w:type="default" w:linePitch="360" w:charSpace="0"/>
        </w:sectPr>
        <w:pStyle w:val="Normal"/>
        <w:jc w:val="center"/>
        <w:rPr>
          <w:color w:val="auto"/>
          <w:highlight w:val="none"/>
          <w:shd w:fill="auto" w:val="clear"/>
        </w:rPr>
      </w:pPr>
      <w:r>
        <w:rPr>
          <w:rFonts w:eastAsia="Calibri" w:cs="Arial" w:ascii="Arial" w:hAnsi="Arial"/>
          <w:b/>
          <w:color w:val="000000"/>
          <w:sz w:val="24"/>
          <w:szCs w:val="24"/>
          <w:shd w:fill="auto" w:val="clear"/>
        </w:rPr>
        <w:t>2026</w:t>
      </w:r>
    </w:p>
    <w:p>
      <w:pPr>
        <w:pStyle w:val="Normal"/>
        <w:jc w:val="center"/>
        <w:rPr>
          <w:rFonts w:ascii="Arial" w:hAnsi="Arial" w:eastAsia="Calibri" w:cs="Arial"/>
          <w:b/>
          <w:b/>
          <w:sz w:val="24"/>
          <w:szCs w:val="24"/>
        </w:rPr>
      </w:pPr>
      <w:r>
        <w:rPr>
          <w:rFonts w:eastAsia="Calibri" w:cs="Arial" w:ascii="Arial" w:hAnsi="Arial"/>
          <w:b/>
          <w:sz w:val="24"/>
          <w:szCs w:val="24"/>
        </w:rPr>
        <w:t>KARINE DIONISIO CORRÊA</w:t>
      </w:r>
    </w:p>
    <w:p>
      <w:pPr>
        <w:pStyle w:val="Normal"/>
        <w:jc w:val="center"/>
        <w:rPr>
          <w:rFonts w:ascii="Arial" w:hAnsi="Arial" w:eastAsia="Calibri" w:cs="Arial"/>
          <w:b/>
          <w:b/>
          <w:sz w:val="24"/>
          <w:szCs w:val="24"/>
        </w:rPr>
      </w:pPr>
      <w:r>
        <w:rPr>
          <w:rFonts w:eastAsia="Calibri" w:cs="Arial" w:ascii="Arial" w:hAnsi="Arial"/>
          <w:b/>
          <w:sz w:val="24"/>
          <w:szCs w:val="24"/>
        </w:rPr>
        <w:t>WESLEY VENERANDO DA SILVA</w:t>
      </w:r>
    </w:p>
    <w:p>
      <w:pPr>
        <w:pStyle w:val="Normal"/>
        <w:jc w:val="center"/>
        <w:rPr>
          <w:rFonts w:ascii="Arial" w:hAnsi="Arial" w:eastAsia="Calibri" w:cs="Arial"/>
          <w:b/>
          <w:b/>
          <w:sz w:val="24"/>
          <w:szCs w:val="24"/>
        </w:rPr>
      </w:pPr>
      <w:r>
        <w:rPr>
          <w:rFonts w:eastAsia="Calibri" w:cs="Arial" w:ascii="Arial" w:hAnsi="Arial"/>
          <w:b/>
          <w:sz w:val="24"/>
          <w:szCs w:val="24"/>
        </w:rPr>
      </w:r>
    </w:p>
    <w:p>
      <w:pPr>
        <w:pStyle w:val="Normal"/>
        <w:jc w:val="center"/>
        <w:rPr>
          <w:rFonts w:ascii="Arial" w:hAnsi="Arial" w:eastAsia="Calibri" w:cs="Arial"/>
          <w:b/>
          <w:b/>
          <w:sz w:val="24"/>
          <w:szCs w:val="24"/>
        </w:rPr>
      </w:pPr>
      <w:r>
        <w:rPr>
          <w:rFonts w:eastAsia="Calibri" w:cs="Arial" w:ascii="Arial" w:hAnsi="Arial"/>
          <w:b/>
          <w:sz w:val="24"/>
          <w:szCs w:val="24"/>
        </w:rPr>
      </w:r>
    </w:p>
    <w:p>
      <w:pPr>
        <w:pStyle w:val="Normal"/>
        <w:jc w:val="center"/>
        <w:rPr>
          <w:rFonts w:ascii="Arial" w:hAnsi="Arial" w:eastAsia="Calibri" w:cs="Arial"/>
          <w:b/>
          <w:b/>
          <w:sz w:val="24"/>
          <w:szCs w:val="24"/>
        </w:rPr>
      </w:pPr>
      <w:r>
        <w:rPr>
          <w:rFonts w:eastAsia="Calibri" w:cs="Arial" w:ascii="Arial" w:hAnsi="Arial"/>
          <w:b/>
          <w:sz w:val="24"/>
          <w:szCs w:val="24"/>
        </w:rPr>
      </w:r>
    </w:p>
    <w:p>
      <w:pPr>
        <w:pStyle w:val="Normal"/>
        <w:jc w:val="center"/>
        <w:rPr>
          <w:rFonts w:ascii="Arial" w:hAnsi="Arial" w:eastAsia="Calibri" w:cs="Arial"/>
          <w:b/>
          <w:b/>
          <w:sz w:val="24"/>
          <w:szCs w:val="24"/>
        </w:rPr>
      </w:pPr>
      <w:r>
        <w:rPr>
          <w:rFonts w:eastAsia="Calibri" w:cs="Arial" w:ascii="Arial" w:hAnsi="Arial"/>
          <w:b/>
          <w:sz w:val="24"/>
          <w:szCs w:val="24"/>
        </w:rPr>
      </w:r>
    </w:p>
    <w:p>
      <w:pPr>
        <w:pStyle w:val="Normal"/>
        <w:jc w:val="center"/>
        <w:rPr>
          <w:rFonts w:ascii="Arial" w:hAnsi="Arial" w:eastAsia="Calibri" w:cs="Arial"/>
          <w:b/>
          <w:b/>
          <w:sz w:val="24"/>
          <w:szCs w:val="24"/>
        </w:rPr>
      </w:pPr>
      <w:r>
        <w:rPr>
          <w:rFonts w:eastAsia="Calibri" w:cs="Arial" w:ascii="Arial" w:hAnsi="Arial"/>
          <w:b/>
          <w:sz w:val="24"/>
          <w:szCs w:val="24"/>
        </w:rPr>
      </w:r>
    </w:p>
    <w:p>
      <w:pPr>
        <w:pStyle w:val="Normal"/>
        <w:jc w:val="center"/>
        <w:rPr>
          <w:rFonts w:ascii="Arial" w:hAnsi="Arial" w:eastAsia="Calibri" w:cs="Arial"/>
          <w:b/>
          <w:b/>
          <w:sz w:val="24"/>
          <w:szCs w:val="24"/>
        </w:rPr>
      </w:pPr>
      <w:r>
        <w:rPr>
          <w:rFonts w:eastAsia="Calibri" w:cs="Arial" w:ascii="Arial" w:hAnsi="Arial"/>
          <w:b/>
          <w:sz w:val="24"/>
          <w:szCs w:val="24"/>
        </w:rPr>
      </w:r>
    </w:p>
    <w:p>
      <w:pPr>
        <w:pStyle w:val="Normal"/>
        <w:jc w:val="center"/>
        <w:rPr>
          <w:rFonts w:ascii="Arial" w:hAnsi="Arial" w:eastAsia="Calibri" w:cs="Arial"/>
          <w:b/>
          <w:b/>
          <w:sz w:val="24"/>
          <w:szCs w:val="24"/>
        </w:rPr>
      </w:pPr>
      <w:r>
        <w:rPr>
          <w:rFonts w:eastAsia="Calibri" w:cs="Arial" w:ascii="Arial" w:hAnsi="Arial"/>
          <w:b/>
          <w:sz w:val="24"/>
          <w:szCs w:val="24"/>
        </w:rPr>
      </w:r>
    </w:p>
    <w:p>
      <w:pPr>
        <w:pStyle w:val="Normal"/>
        <w:jc w:val="center"/>
        <w:rPr>
          <w:rFonts w:ascii="Arial" w:hAnsi="Arial" w:eastAsia="Calibri" w:cs="Arial"/>
          <w:b/>
          <w:b/>
          <w:sz w:val="24"/>
          <w:szCs w:val="24"/>
        </w:rPr>
      </w:pPr>
      <w:r>
        <w:rPr>
          <w:rFonts w:eastAsia="Calibri" w:cs="Arial" w:ascii="Arial" w:hAnsi="Arial"/>
          <w:b/>
          <w:sz w:val="24"/>
          <w:szCs w:val="24"/>
        </w:rPr>
        <w:t>AVALIAÇÃO DA QUALIDADE E DAS DESCONTINUIDADES EM JUNTAS SOLDADAS EM AÇO CARBONO: UM ESTUDO COMPARATIVO ENTRE OS PROCESSOS MIG/MAG, TIG E ELETRODO REVESTIDO</w:t>
      </w:r>
    </w:p>
    <w:p>
      <w:pPr>
        <w:pStyle w:val="Normal"/>
        <w:jc w:val="center"/>
        <w:rPr>
          <w:rFonts w:ascii="Arial" w:hAnsi="Arial" w:eastAsia="Calibri" w:cs="Arial"/>
          <w:b/>
          <w:b/>
          <w:sz w:val="24"/>
          <w:szCs w:val="24"/>
        </w:rPr>
      </w:pPr>
      <w:r>
        <w:rPr>
          <w:rFonts w:eastAsia="Calibri" w:cs="Arial" w:ascii="Arial" w:hAnsi="Arial"/>
          <w:b/>
          <w:sz w:val="24"/>
          <w:szCs w:val="24"/>
        </w:rPr>
      </w:r>
    </w:p>
    <w:p>
      <w:pPr>
        <w:pStyle w:val="Normal"/>
        <w:jc w:val="center"/>
        <w:rPr>
          <w:rFonts w:ascii="Arial" w:hAnsi="Arial" w:eastAsia="Calibri" w:cs="Arial"/>
          <w:b/>
          <w:b/>
          <w:sz w:val="24"/>
          <w:szCs w:val="24"/>
        </w:rPr>
      </w:pPr>
      <w:r>
        <w:rPr>
          <w:rFonts w:eastAsia="Calibri" w:cs="Arial" w:ascii="Arial" w:hAnsi="Arial"/>
          <w:b/>
          <w:sz w:val="24"/>
          <w:szCs w:val="24"/>
        </w:rPr>
      </w:r>
    </w:p>
    <w:p>
      <w:pPr>
        <w:pStyle w:val="Normal"/>
        <w:jc w:val="center"/>
        <w:rPr>
          <w:rFonts w:ascii="Arial" w:hAnsi="Arial" w:eastAsia="Calibri" w:cs="Arial"/>
          <w:sz w:val="24"/>
          <w:szCs w:val="24"/>
        </w:rPr>
      </w:pPr>
      <w:r>
        <w:rPr>
          <w:rFonts w:eastAsia="Calibri" w:cs="Arial" w:ascii="Arial" w:hAnsi="Arial"/>
          <w:sz w:val="24"/>
          <w:szCs w:val="24"/>
        </w:rPr>
      </w:r>
    </w:p>
    <w:p>
      <w:pPr>
        <w:pStyle w:val="Normal"/>
        <w:spacing w:lineRule="auto" w:line="240"/>
        <w:ind w:left="4536" w:hanging="0"/>
        <w:jc w:val="both"/>
        <w:rPr>
          <w:rFonts w:ascii="Arial" w:hAnsi="Arial" w:eastAsia="Calibri" w:cs="Arial"/>
          <w:sz w:val="24"/>
          <w:szCs w:val="24"/>
        </w:rPr>
      </w:pPr>
      <w:r>
        <w:rPr>
          <w:rFonts w:cs="Arial" w:ascii="Arial" w:hAnsi="Arial"/>
          <w:color w:val="auto"/>
          <w:sz w:val="24"/>
          <w:szCs w:val="24"/>
        </w:rPr>
        <w:t xml:space="preserve">Trabalho de Conclusão de Curso apresentado como requisito para obtenção do grau de Técnico em Mecânica, ao SENAI – Três Lagoas/MS.</w:t>
      </w:r>
    </w:p>
    <w:p>
      <w:pPr>
        <w:pStyle w:val="Normal"/>
        <w:spacing w:lineRule="auto" w:line="240"/>
        <w:ind w:left="4536" w:hanging="0"/>
        <w:jc w:val="both"/>
        <w:rPr>
          <w:rFonts w:ascii="Arial" w:hAnsi="Arial" w:eastAsia="Calibri" w:cs="Arial"/>
          <w:sz w:val="24"/>
          <w:szCs w:val="24"/>
        </w:rPr>
      </w:pPr>
      <w:r>
        <w:rPr>
          <w:rFonts w:eastAsia="Calibri" w:cs="Arial" w:ascii="Arial" w:hAnsi="Arial"/>
          <w:sz w:val="24"/>
          <w:szCs w:val="24"/>
        </w:rPr>
        <w:t xml:space="preserve">Orientador(a): </w:t>
      </w:r>
    </w:p>
    <w:p>
      <w:pPr>
        <w:pStyle w:val="Normal"/>
        <w:spacing w:lineRule="auto" w:line="240"/>
        <w:jc w:val="both"/>
        <w:rPr>
          <w:rFonts w:ascii="Arial" w:hAnsi="Arial" w:eastAsia="Calibri" w:cs="Arial"/>
          <w:b/>
          <w:b/>
          <w:sz w:val="24"/>
          <w:szCs w:val="24"/>
        </w:rPr>
      </w:pPr>
      <w:r>
        <w:rPr>
          <w:rFonts w:eastAsia="Calibri" w:cs="Arial" w:ascii="Arial" w:hAnsi="Arial"/>
          <w:b/>
          <w:sz w:val="24"/>
          <w:szCs w:val="24"/>
        </w:rPr>
      </w:r>
    </w:p>
    <w:p>
      <w:pPr>
        <w:pStyle w:val="Normal"/>
        <w:spacing w:lineRule="auto" w:line="240"/>
        <w:ind w:left="4536" w:hanging="0"/>
        <w:jc w:val="both"/>
        <w:rPr>
          <w:rFonts w:ascii="Arial" w:hAnsi="Arial" w:eastAsia="Calibri" w:cs="Arial"/>
          <w:b/>
          <w:b/>
          <w:sz w:val="24"/>
          <w:szCs w:val="24"/>
        </w:rPr>
      </w:pPr>
      <w:r>
        <w:rPr>
          <w:rFonts w:eastAsia="Calibri" w:cs="Arial" w:ascii="Arial" w:hAnsi="Arial"/>
          <w:b/>
          <w:sz w:val="24"/>
          <w:szCs w:val="24"/>
        </w:rPr>
      </w:r>
    </w:p>
    <w:p>
      <w:pPr>
        <w:pStyle w:val="Normal"/>
        <w:spacing w:lineRule="auto" w:line="240"/>
        <w:ind w:left="4536" w:hanging="0"/>
        <w:jc w:val="both"/>
        <w:rPr>
          <w:rFonts w:ascii="Arial" w:hAnsi="Arial" w:eastAsia="Calibri" w:cs="Arial"/>
          <w:b/>
          <w:b/>
          <w:sz w:val="24"/>
          <w:szCs w:val="24"/>
        </w:rPr>
      </w:pPr>
      <w:r>
        <w:rPr>
          <w:rFonts w:eastAsia="Calibri" w:cs="Arial" w:ascii="Arial" w:hAnsi="Arial"/>
          <w:b/>
          <w:sz w:val="24"/>
          <w:szCs w:val="24"/>
        </w:rPr>
      </w:r>
    </w:p>
    <w:p>
      <w:pPr>
        <w:pStyle w:val="Normal"/>
        <w:jc w:val="center"/>
        <w:rPr>
          <w:rFonts w:ascii="Arial" w:hAnsi="Arial" w:eastAsia="Calibri" w:cs="Arial"/>
          <w:b/>
          <w:b/>
          <w:sz w:val="24"/>
          <w:szCs w:val="24"/>
        </w:rPr>
      </w:pPr>
      <w:r>
        <w:rPr>
          <w:rFonts w:eastAsia="Calibri" w:cs="Arial" w:ascii="Arial" w:hAnsi="Arial"/>
          <w:b/>
          <w:sz w:val="24"/>
          <w:szCs w:val="24"/>
        </w:rPr>
      </w:r>
    </w:p>
    <w:p>
      <w:pPr>
        <w:pStyle w:val="Normal"/>
        <w:jc w:val="center"/>
        <w:rPr>
          <w:rFonts w:ascii="Arial" w:hAnsi="Arial" w:eastAsia="Calibri" w:cs="Arial"/>
          <w:b/>
          <w:b/>
          <w:sz w:val="24"/>
          <w:szCs w:val="24"/>
        </w:rPr>
      </w:pPr>
      <w:r>
        <w:rPr>
          <w:rFonts w:eastAsia="Calibri" w:cs="Arial" w:ascii="Arial" w:hAnsi="Arial"/>
          <w:b/>
          <w:sz w:val="24"/>
          <w:szCs w:val="24"/>
        </w:rPr>
      </w:r>
    </w:p>
    <w:p>
      <w:pPr>
        <w:pStyle w:val="Normal"/>
        <w:jc w:val="center"/>
        <w:rPr>
          <w:rFonts w:ascii="Arial" w:hAnsi="Arial" w:eastAsia="Calibri" w:cs="Arial"/>
          <w:b/>
          <w:b/>
          <w:sz w:val="24"/>
          <w:szCs w:val="24"/>
        </w:rPr>
      </w:pPr>
      <w:r>
        <w:rPr>
          <w:rFonts w:eastAsia="Calibri" w:cs="Arial" w:ascii="Arial" w:hAnsi="Arial"/>
          <w:b/>
          <w:sz w:val="24"/>
          <w:szCs w:val="24"/>
        </w:rPr>
      </w:r>
    </w:p>
    <w:p>
      <w:pPr>
        <w:pStyle w:val="Normal"/>
        <w:jc w:val="center"/>
        <w:rPr>
          <w:rFonts w:ascii="Arial" w:hAnsi="Arial" w:eastAsia="Calibri" w:cs="Arial"/>
          <w:b/>
          <w:b/>
          <w:color w:val="auto"/>
          <w:sz w:val="24"/>
          <w:szCs w:val="24"/>
        </w:rPr>
      </w:pPr>
      <w:r>
        <w:rPr>
          <w:rFonts w:eastAsia="Calibri" w:cs="Arial" w:ascii="Arial" w:hAnsi="Arial"/>
          <w:b/>
          <w:color w:val="auto"/>
          <w:sz w:val="24"/>
          <w:szCs w:val="24"/>
        </w:rPr>
      </w:r>
    </w:p>
    <w:p>
      <w:pPr>
        <w:pStyle w:val="Normal"/>
        <w:jc w:val="center"/>
        <w:rPr>
          <w:color w:val="auto"/>
        </w:rPr>
      </w:pPr>
      <w:r>
        <w:rPr>
          <w:rFonts w:eastAsia="Calibri" w:cs="Arial" w:ascii="Arial" w:hAnsi="Arial"/>
          <w:b/>
          <w:bCs/>
          <w:color w:val="auto"/>
          <w:sz w:val="24"/>
          <w:szCs w:val="24"/>
        </w:rPr>
        <w:t>TRÊS LAGOAS/MS</w:t>
      </w:r>
    </w:p>
    <w:p>
      <w:pPr>
        <w:pStyle w:val="Normal"/>
        <w:jc w:val="center"/>
        <w:rPr>
          <w:color w:val="auto"/>
        </w:rPr>
      </w:pPr>
      <w:r>
        <w:rPr>
          <w:rFonts w:eastAsia="Calibri" w:cs="Arial" w:ascii="Arial" w:hAnsi="Arial"/>
          <w:b/>
          <w:bCs/>
          <w:color w:val="auto"/>
          <w:sz w:val="24"/>
          <w:szCs w:val="24"/>
        </w:rPr>
        <w:t>2026</w:t>
      </w:r>
    </w:p>
    <w:p>
      <w:pPr>
        <w:pStyle w:val="Normal"/>
        <w:pageBreakBefore/>
        <w:jc w:val="center"/>
        <w:rPr>
          <w:rFonts w:ascii="Arial" w:hAnsi="Arial" w:eastAsia="Calibri" w:cs="Arial"/>
          <w:b/>
          <w:b/>
          <w:sz w:val="24"/>
          <w:szCs w:val="24"/>
        </w:rPr>
      </w:pPr>
      <w:r>
        <w:rPr>
          <w:rFonts w:eastAsia="Calibri" w:cs="Arial" w:ascii="Arial" w:hAnsi="Arial"/>
          <w:b/>
          <w:sz w:val="24"/>
          <w:szCs w:val="24"/>
        </w:rPr>
        <w:t>KARINE DIONISIO CORRÊA</w:t>
      </w:r>
    </w:p>
    <w:p>
      <w:pPr>
        <w:pStyle w:val="Normal"/>
        <w:jc w:val="center"/>
        <w:rPr>
          <w:rFonts w:ascii="Arial" w:hAnsi="Arial" w:eastAsia="Calibri" w:cs="Arial"/>
          <w:b/>
          <w:b/>
          <w:sz w:val="24"/>
          <w:szCs w:val="24"/>
        </w:rPr>
      </w:pPr>
      <w:r>
        <w:rPr>
          <w:rFonts w:eastAsia="Calibri" w:cs="Arial" w:ascii="Arial" w:hAnsi="Arial"/>
          <w:b/>
          <w:sz w:val="24"/>
          <w:szCs w:val="24"/>
        </w:rPr>
        <w:t>WESLEY VENERANDO DA SILVA</w:t>
      </w:r>
    </w:p>
    <w:p>
      <w:pPr>
        <w:pStyle w:val="Normal"/>
        <w:jc w:val="center"/>
        <w:rPr>
          <w:rFonts w:ascii="Arial" w:hAnsi="Arial" w:eastAsia="Calibri" w:cs="Arial"/>
          <w:b/>
          <w:b/>
          <w:sz w:val="24"/>
          <w:szCs w:val="24"/>
        </w:rPr>
      </w:pPr>
      <w:r>
        <w:rPr>
          <w:rFonts w:eastAsia="Calibri" w:cs="Arial" w:ascii="Arial" w:hAnsi="Arial"/>
          <w:b/>
          <w:sz w:val="24"/>
          <w:szCs w:val="24"/>
        </w:rPr>
      </w:r>
    </w:p>
    <w:p>
      <w:pPr>
        <w:pStyle w:val="Normal"/>
        <w:jc w:val="center"/>
        <w:rPr>
          <w:rFonts w:ascii="Arial" w:hAnsi="Arial" w:eastAsia="Calibri" w:cs="Arial"/>
          <w:b/>
          <w:b/>
          <w:sz w:val="24"/>
          <w:szCs w:val="24"/>
        </w:rPr>
      </w:pPr>
      <w:r>
        <w:rPr>
          <w:rFonts w:eastAsia="Calibri" w:cs="Arial" w:ascii="Arial" w:hAnsi="Arial"/>
          <w:b/>
          <w:sz w:val="24"/>
          <w:szCs w:val="24"/>
        </w:rPr>
      </w:r>
    </w:p>
    <w:p>
      <w:pPr>
        <w:pStyle w:val="Normal"/>
        <w:jc w:val="center"/>
        <w:rPr>
          <w:rFonts w:ascii="Arial" w:hAnsi="Arial" w:eastAsia="Calibri" w:cs="Arial"/>
          <w:b/>
          <w:b/>
          <w:sz w:val="24"/>
          <w:szCs w:val="24"/>
        </w:rPr>
      </w:pPr>
      <w:r>
        <w:rPr>
          <w:rFonts w:eastAsia="Calibri" w:cs="Arial" w:ascii="Arial" w:hAnsi="Arial"/>
          <w:b/>
          <w:sz w:val="24"/>
          <w:szCs w:val="24"/>
        </w:rPr>
        <w:t>AVALIAÇÃO DA QUALIDADE E DAS DESCONTINUIDADES EM JUNTAS SOLDADAS EM AÇO CARBONO: UM ESTUDO COMPARATIVO ENTRE OS PROCESSOS MIG/MAG, TIG E ELETRODO REVESTIDO</w:t>
      </w:r>
    </w:p>
    <w:p>
      <w:pPr>
        <w:pStyle w:val="Normal"/>
        <w:spacing w:lineRule="auto" w:line="240"/>
        <w:ind w:left="4536" w:hanging="0"/>
        <w:jc w:val="both"/>
        <w:rPr>
          <w:rFonts w:ascii="Arial" w:hAnsi="Arial" w:eastAsia="Calibri" w:cs="Arial"/>
          <w:sz w:val="24"/>
          <w:szCs w:val="24"/>
        </w:rPr>
      </w:pPr>
      <w:r>
        <w:rPr>
          <w:rFonts w:cs="Arial" w:ascii="Arial" w:hAnsi="Arial"/>
          <w:color w:val="auto"/>
          <w:sz w:val="24"/>
          <w:szCs w:val="24"/>
        </w:rPr>
        <w:t xml:space="preserve">Trabalho de Conclusão de Curso apresentado, avaliado e aprovado, como requisito para obtenção do grau de Técnico em Mecânica, ao SENAI – Três Lagoas/MS.</w:t>
      </w:r>
    </w:p>
    <w:p>
      <w:pPr>
        <w:pStyle w:val="Normal"/>
        <w:spacing w:lineRule="auto" w:line="240"/>
        <w:ind w:left="4536" w:hanging="0"/>
        <w:jc w:val="both"/>
        <w:rPr>
          <w:rFonts w:ascii="Arial" w:hAnsi="Arial" w:eastAsia="Calibri" w:cs="Arial"/>
          <w:sz w:val="24"/>
          <w:szCs w:val="24"/>
        </w:rPr>
      </w:pPr>
      <w:r>
        <w:rPr>
          <w:rFonts w:eastAsia="Calibri" w:cs="Arial" w:ascii="Arial" w:hAnsi="Arial"/>
          <w:sz w:val="24"/>
          <w:szCs w:val="24"/>
        </w:rPr>
        <w:t>Orientador(a):</w:t>
      </w:r>
    </w:p>
    <w:p>
      <w:pPr>
        <w:pStyle w:val="Normal"/>
        <w:spacing w:lineRule="auto" w:line="240"/>
        <w:jc w:val="both"/>
        <w:rPr>
          <w:rFonts w:ascii="Arial" w:hAnsi="Arial" w:eastAsia="Calibri" w:cs="Arial"/>
          <w:b/>
          <w:b/>
          <w:sz w:val="24"/>
          <w:szCs w:val="24"/>
        </w:rPr>
      </w:pPr>
      <w:r>
        <w:rPr>
          <w:rFonts w:eastAsia="Calibri" w:cs="Arial" w:ascii="Arial" w:hAnsi="Arial"/>
          <w:b/>
          <w:sz w:val="24"/>
          <w:szCs w:val="24"/>
        </w:rPr>
      </w:r>
    </w:p>
    <w:p>
      <w:pPr>
        <w:pStyle w:val="Normal"/>
        <w:spacing w:lineRule="auto" w:line="240"/>
        <w:ind w:firstLine="4536"/>
        <w:jc w:val="both"/>
        <w:rPr>
          <w:rFonts w:ascii="Arial" w:hAnsi="Arial" w:eastAsia="Calibri" w:cs="Arial"/>
          <w:sz w:val="24"/>
          <w:szCs w:val="24"/>
        </w:rPr>
      </w:pPr>
      <w:r>
        <w:rPr>
          <w:rFonts w:eastAsia="Calibri" w:cs="Arial" w:ascii="Arial" w:hAnsi="Arial"/>
          <w:sz w:val="24"/>
          <w:szCs w:val="24"/>
        </w:rPr>
        <w:t>Aprovado em: ___ / ___ / _____</w:t>
      </w:r>
    </w:p>
    <w:p>
      <w:pPr>
        <w:pStyle w:val="Normal"/>
        <w:spacing w:lineRule="auto" w:line="240"/>
        <w:ind w:firstLine="4536"/>
        <w:jc w:val="both"/>
        <w:rPr>
          <w:rFonts w:ascii="Arial" w:hAnsi="Arial" w:eastAsia="Calibri" w:cs="Arial"/>
          <w:sz w:val="24"/>
          <w:szCs w:val="24"/>
        </w:rPr>
      </w:pPr>
      <w:r>
        <w:rPr>
          <w:rFonts w:eastAsia="Calibri" w:cs="Arial" w:ascii="Arial" w:hAnsi="Arial"/>
          <w:sz w:val="24"/>
          <w:szCs w:val="24"/>
        </w:rPr>
      </w:r>
    </w:p>
    <w:p>
      <w:pPr>
        <w:pStyle w:val="Normal"/>
        <w:spacing w:lineRule="auto" w:line="240"/>
        <w:ind w:firstLine="4536"/>
        <w:jc w:val="both"/>
        <w:rPr>
          <w:rFonts w:ascii="Arial" w:hAnsi="Arial" w:eastAsia="Calibri" w:cs="Arial"/>
          <w:sz w:val="24"/>
          <w:szCs w:val="24"/>
        </w:rPr>
      </w:pPr>
      <w:r>
        <w:rPr>
          <w:rFonts w:eastAsia="Calibri" w:cs="Arial" w:ascii="Arial" w:hAnsi="Arial"/>
          <w:sz w:val="24"/>
          <w:szCs w:val="24"/>
        </w:rPr>
      </w:r>
    </w:p>
    <w:p>
      <w:pPr>
        <w:pStyle w:val="Normal"/>
        <w:spacing w:lineRule="auto" w:line="240"/>
        <w:jc w:val="center"/>
        <w:rPr>
          <w:rFonts w:ascii="Arial" w:hAnsi="Arial" w:eastAsia="Calibri" w:cs="Arial"/>
          <w:sz w:val="24"/>
          <w:szCs w:val="24"/>
        </w:rPr>
      </w:pPr>
      <w:r>
        <w:rPr>
          <w:rFonts w:eastAsia="Calibri" w:cs="Arial" w:ascii="Arial" w:hAnsi="Arial"/>
          <w:sz w:val="24"/>
          <w:szCs w:val="24"/>
        </w:rPr>
        <w:t>BANCA EXAMINADORA:</w:t>
      </w:r>
    </w:p>
    <w:p>
      <w:pPr>
        <w:pStyle w:val="Normal"/>
        <w:spacing w:lineRule="auto" w:line="240"/>
        <w:jc w:val="center"/>
        <w:rPr>
          <w:rFonts w:ascii="Arial" w:hAnsi="Arial" w:eastAsia="Calibri" w:cs="Arial"/>
          <w:sz w:val="24"/>
          <w:szCs w:val="24"/>
        </w:rPr>
      </w:pPr>
      <w:r>
        <w:rPr>
          <w:rFonts w:eastAsia="Calibri" w:cs="Arial" w:ascii="Arial" w:hAnsi="Arial"/>
          <w:sz w:val="24"/>
          <w:szCs w:val="24"/>
        </w:rPr>
      </w:r>
    </w:p>
    <w:p>
      <w:pPr>
        <w:pStyle w:val="Normal"/>
        <w:pBdr>
          <w:bottom w:val="single" w:sz="12" w:space="1" w:color="000000"/>
        </w:pBdr>
        <w:spacing w:lineRule="auto" w:line="240"/>
        <w:jc w:val="center"/>
        <w:rPr>
          <w:rFonts w:ascii="Arial" w:hAnsi="Arial" w:eastAsia="Calibri" w:cs="Arial"/>
          <w:sz w:val="24"/>
          <w:szCs w:val="24"/>
        </w:rPr>
      </w:pPr>
      <w:r>
        <w:rPr>
          <w:rFonts w:eastAsia="Calibri" w:cs="Arial" w:ascii="Arial" w:hAnsi="Arial"/>
          <w:sz w:val="24"/>
          <w:szCs w:val="24"/>
        </w:rPr>
      </w:r>
    </w:p>
    <w:p>
      <w:pPr>
        <w:pStyle w:val="Normal"/>
        <w:spacing w:lineRule="auto" w:line="240"/>
        <w:jc w:val="center"/>
        <w:rPr>
          <w:rFonts w:ascii="Arial" w:hAnsi="Arial" w:eastAsia="Calibri" w:cs="Arial"/>
          <w:sz w:val="24"/>
          <w:szCs w:val="24"/>
        </w:rPr>
      </w:pPr>
      <w:r>
        <w:rPr>
          <w:rFonts w:eastAsia="Calibri" w:cs="Arial" w:ascii="Arial" w:hAnsi="Arial"/>
          <w:sz w:val="24"/>
          <w:szCs w:val="24"/>
        </w:rPr>
        <w:t>Prof. Fulano de Tal</w:t>
      </w:r>
    </w:p>
    <w:p>
      <w:pPr>
        <w:pStyle w:val="Normal"/>
        <w:spacing w:lineRule="auto" w:line="240"/>
        <w:jc w:val="center"/>
        <w:rPr>
          <w:rFonts w:ascii="Arial" w:hAnsi="Arial" w:eastAsia="Calibri" w:cs="Arial"/>
          <w:sz w:val="24"/>
          <w:szCs w:val="24"/>
        </w:rPr>
      </w:pPr>
      <w:r>
        <w:rPr>
          <w:rFonts w:eastAsia="Calibri" w:cs="Arial" w:ascii="Arial" w:hAnsi="Arial"/>
          <w:sz w:val="24"/>
          <w:szCs w:val="24"/>
        </w:rPr>
      </w:r>
    </w:p>
    <w:p>
      <w:pPr>
        <w:pStyle w:val="Normal"/>
        <w:pBdr>
          <w:bottom w:val="single" w:sz="12" w:space="1" w:color="000000"/>
        </w:pBdr>
        <w:spacing w:lineRule="auto" w:line="240"/>
        <w:jc w:val="center"/>
        <w:rPr>
          <w:rFonts w:ascii="Arial" w:hAnsi="Arial" w:eastAsia="Calibri" w:cs="Arial"/>
          <w:sz w:val="24"/>
          <w:szCs w:val="24"/>
        </w:rPr>
      </w:pPr>
      <w:r>
        <w:rPr>
          <w:rFonts w:eastAsia="Calibri" w:cs="Arial" w:ascii="Arial" w:hAnsi="Arial"/>
          <w:sz w:val="24"/>
          <w:szCs w:val="24"/>
        </w:rPr>
      </w:r>
    </w:p>
    <w:p>
      <w:pPr>
        <w:pStyle w:val="Normal"/>
        <w:spacing w:lineRule="auto" w:line="240"/>
        <w:jc w:val="center"/>
        <w:rPr>
          <w:rFonts w:ascii="Arial" w:hAnsi="Arial" w:eastAsia="Calibri" w:cs="Arial"/>
          <w:sz w:val="24"/>
          <w:szCs w:val="24"/>
        </w:rPr>
      </w:pPr>
      <w:r>
        <w:rPr>
          <w:rFonts w:eastAsia="Calibri" w:cs="Arial" w:ascii="Arial" w:hAnsi="Arial"/>
          <w:sz w:val="24"/>
          <w:szCs w:val="24"/>
        </w:rPr>
        <w:t>Prof. Sicrano</w:t>
      </w:r>
    </w:p>
    <w:p>
      <w:pPr>
        <w:pStyle w:val="Normal"/>
        <w:pBdr>
          <w:bottom w:val="single" w:sz="12" w:space="1" w:color="000000"/>
        </w:pBdr>
        <w:spacing w:lineRule="auto" w:line="240"/>
        <w:jc w:val="center"/>
        <w:rPr>
          <w:rFonts w:ascii="Arial" w:hAnsi="Arial" w:eastAsia="Calibri" w:cs="Arial"/>
          <w:sz w:val="24"/>
          <w:szCs w:val="24"/>
        </w:rPr>
      </w:pPr>
      <w:r>
        <w:rPr>
          <w:rFonts w:eastAsia="Calibri" w:cs="Arial" w:ascii="Arial" w:hAnsi="Arial"/>
          <w:sz w:val="24"/>
          <w:szCs w:val="24"/>
        </w:rPr>
      </w:r>
    </w:p>
    <w:p>
      <w:pPr>
        <w:pStyle w:val="Normal"/>
        <w:pBdr>
          <w:bottom w:val="single" w:sz="12" w:space="1" w:color="000000"/>
        </w:pBdr>
        <w:spacing w:lineRule="auto" w:line="240"/>
        <w:jc w:val="center"/>
        <w:rPr>
          <w:rFonts w:ascii="Arial" w:hAnsi="Arial" w:eastAsia="Calibri" w:cs="Arial"/>
          <w:sz w:val="24"/>
          <w:szCs w:val="24"/>
        </w:rPr>
      </w:pPr>
      <w:r>
        <w:rPr>
          <w:rFonts w:eastAsia="Calibri" w:cs="Arial" w:ascii="Arial" w:hAnsi="Arial"/>
          <w:sz w:val="24"/>
          <w:szCs w:val="24"/>
        </w:rPr>
      </w:r>
    </w:p>
    <w:p>
      <w:pPr>
        <w:pStyle w:val="Normal"/>
        <w:spacing w:lineRule="auto" w:line="240"/>
        <w:jc w:val="center"/>
        <w:rPr>
          <w:rFonts w:ascii="Arial" w:hAnsi="Arial" w:eastAsia="Calibri" w:cs="Arial"/>
          <w:sz w:val="24"/>
          <w:szCs w:val="24"/>
        </w:rPr>
      </w:pPr>
      <w:r>
        <w:rPr>
          <w:rFonts w:eastAsia="Calibri" w:cs="Arial" w:ascii="Arial" w:hAnsi="Arial"/>
          <w:sz w:val="24"/>
          <w:szCs w:val="24"/>
        </w:rPr>
        <w:t>Prof. Beltrano</w:t>
      </w:r>
    </w:p>
    <w:p>
      <w:pPr>
        <w:pStyle w:val="Normal"/>
        <w:jc w:val="center"/>
        <w:rPr>
          <w:rFonts w:ascii="Arial" w:hAnsi="Arial" w:eastAsia="Calibri" w:cs="Arial"/>
          <w:b/>
          <w:b/>
          <w:color w:val="FF0000"/>
          <w:sz w:val="24"/>
          <w:szCs w:val="24"/>
        </w:rPr>
      </w:pPr>
      <w:r>
        <w:rPr>
          <w:rFonts w:eastAsia="Calibri" w:cs="Arial" w:ascii="Arial" w:hAnsi="Arial"/>
          <w:b/>
          <w:color w:val="FF0000"/>
          <w:sz w:val="24"/>
          <w:szCs w:val="24"/>
        </w:rPr>
      </w:r>
    </w:p>
    <w:p>
      <w:pPr>
        <w:pStyle w:val="Normal"/>
        <w:jc w:val="center"/>
        <w:rPr>
          <w:color w:val="auto"/>
        </w:rPr>
      </w:pPr>
      <w:r>
        <w:rPr>
          <w:rFonts w:eastAsia="Calibri" w:cs="Arial" w:ascii="Arial" w:hAnsi="Arial"/>
          <w:b/>
          <w:color w:val="auto"/>
          <w:sz w:val="24"/>
          <w:szCs w:val="24"/>
        </w:rPr>
        <w:t>TRÊS LAGOAS/MS</w:t>
      </w:r>
    </w:p>
    <w:p>
      <w:pPr>
        <w:pStyle w:val="Normal"/>
        <w:jc w:val="center"/>
        <w:rPr>
          <w:color w:val="auto"/>
        </w:rPr>
      </w:pPr>
      <w:r>
        <w:rPr>
          <w:rFonts w:eastAsia="Calibri" w:cs="Arial" w:ascii="Arial" w:hAnsi="Arial"/>
          <w:b/>
          <w:color w:val="auto"/>
          <w:sz w:val="24"/>
          <w:szCs w:val="24"/>
        </w:rPr>
        <w:t>2026</w:t>
      </w:r>
    </w:p>
    <w:p>
      <w:pPr>
        <w:pStyle w:val="Normal"/>
        <w:pageBreakBefore/>
        <w:jc w:val="center"/>
        <w:rPr>
          <w:rFonts w:ascii="Arial" w:hAnsi="Arial" w:cs="Arial"/>
          <w:b/>
          <w:b/>
          <w:sz w:val="24"/>
          <w:szCs w:val="24"/>
        </w:rPr>
      </w:pPr>
      <w:r>
        <w:rPr>
          <w:rFonts w:cs="Arial" w:ascii="Arial" w:hAnsi="Arial"/>
          <w:b/>
          <w:sz w:val="24"/>
          <w:szCs w:val="24"/>
        </w:rPr>
        <w:t xml:space="preserve">RESUMO </w:t>
      </w:r>
    </w:p>
    <w:p>
      <w:pPr>
        <w:pStyle w:val="Normal"/>
        <w:rPr>
          <w:rFonts w:ascii="Arial" w:hAnsi="Arial" w:cs="Arial"/>
          <w:b/>
          <w:b/>
          <w:sz w:val="24"/>
          <w:szCs w:val="24"/>
        </w:rPr>
      </w:pPr>
      <w:r>
        <w:rPr>
          <w:rFonts w:cs="Arial" w:ascii="Arial" w:hAnsi="Arial"/>
          <w:b/>
          <w:sz w:val="24"/>
          <w:szCs w:val="24"/>
        </w:rPr>
      </w:r>
    </w:p>
    <w:p>
      <w:pPr>
        <w:pStyle w:val="Normal"/>
        <w:spacing w:lineRule="auto" w:line="240" w:before="0" w:after="240"/>
        <w:jc w:val="both"/>
        <w:rPr/>
      </w:pPr>
      <w:r>
        <w:rPr>
          <w:rFonts w:cs="Arial" w:ascii="Arial" w:hAnsi="Arial"/>
          <w:color w:val="auto"/>
          <w:sz w:val="24"/>
          <w:szCs w:val="24"/>
        </w:rPr>
        <w:t xml:space="preserve">A soldagem a arco elétrico é o principal processo de união permanente empregado na fabricação e na manutenção de estruturas e equipamentos de aço carbono, e a qualidade da junta soldada depende diretamente do processo selecionado e do controle de suas variáveis. Este projeto integrador avaliou e comparou a qualidade e as descontinuidades presentes em juntas de topo de aço carbono ASTM A36, com 9,5 mm de espessura e chanfro em V, soldadas na posição plana pelos processos eletrodo revestido (SMAW), MIG/MAG (GMAW) e TIG (GTAW). Os corpos de prova foram submetidos a ensaio visual e dimensional, ensaio por líquido penetrante, ensaio macrográfico e ensaio de dobramento guiado, tendo como critérios de aceitação a norma AWS D1.1, a ISO 5817 e o código ASME Seção IX. Os resultados indicaram que o processo TIG produziu as juntas de melhor qualidade, sem descontinuidades relevantes, porém com o maior tempo de execução. O eletrodo revestido apresentou mordeduras e inclusão de escória entre passes, ainda dentro dos limites de aceitação, enquanto o processo MIG/MAG, embora o mais produtivo, apresentou porosidade superficial e falta de fusão lateral, o que levou à reprovação no dobramento de raiz. Conclui-se que não existe um processo superior em todos os aspectos: a escolha deve equilibrar qualidade, produtividade, custo e condições de trabalho, sendo fundamental o ajuste correto dos parâmetros, a limpeza da junta, a qualificação do soldador e a inspeção sistemática para garantir juntas soldadas confiáveis e seguras.</w:t>
      </w:r>
    </w:p>
    <w:p>
      <w:pPr>
        <w:pStyle w:val="Normal"/>
        <w:spacing w:lineRule="auto" w:line="240" w:before="0" w:after="160"/>
        <w:jc w:val="both"/>
        <w:rPr/>
      </w:pPr>
      <w:r>
        <w:rPr>
          <w:rFonts w:cs="Arial" w:ascii="Arial" w:hAnsi="Arial"/>
          <w:b/>
          <w:bCs/>
          <w:color w:val="auto"/>
          <w:sz w:val="24"/>
          <w:szCs w:val="24"/>
        </w:rPr>
        <w:t xml:space="preserve">PALAVRAS-CHAVE:</w:t>
      </w:r>
      <w:r>
        <w:rPr>
          <w:rFonts w:cs="Arial" w:ascii="Arial" w:hAnsi="Arial"/>
          <w:color w:val="auto"/>
          <w:sz w:val="24"/>
          <w:szCs w:val="24"/>
        </w:rPr>
        <w:t xml:space="preserve"> Soldagem. Aço carbono. Descontinuidades. MIG/MAG. TIG. Eletrodo revestido.</w:t>
      </w:r>
    </w:p>
    <w:p>
      <w:pPr>
        <w:pStyle w:val="Normal"/>
        <w:jc w:val="center"/>
        <w:rPr>
          <w:rFonts w:ascii="Arial" w:hAnsi="Arial" w:cs="Arial"/>
          <w:b/>
          <w:b/>
          <w:sz w:val="24"/>
          <w:szCs w:val="24"/>
        </w:rPr>
      </w:pPr>
      <w:r>
        <w:rPr>
          <w:rFonts w:cs="Arial" w:ascii="Arial" w:hAnsi="Arial"/>
          <w:b/>
          <w:sz w:val="24"/>
          <w:szCs w:val="24"/>
        </w:rPr>
      </w:r>
    </w:p>
    <w:p>
      <w:pPr>
        <w:pStyle w:val="Normal"/>
        <w:pageBreakBefore/>
        <w:jc w:val="center"/>
        <w:rPr>
          <w:rFonts w:ascii="Arial" w:hAnsi="Arial" w:cs="Arial"/>
          <w:b/>
          <w:b/>
          <w:sz w:val="24"/>
          <w:szCs w:val="24"/>
          <w:lang w:val="en-US"/>
        </w:rPr>
      </w:pPr>
      <w:r>
        <w:rPr>
          <w:rFonts w:cs="Arial" w:ascii="Arial" w:hAnsi="Arial"/>
          <w:b/>
          <w:sz w:val="24"/>
          <w:szCs w:val="24"/>
          <w:lang w:val="en-US"/>
        </w:rPr>
        <w:t>ABSTRACT</w:t>
      </w:r>
    </w:p>
    <w:p>
      <w:pPr>
        <w:pStyle w:val="Normal"/>
        <w:jc w:val="center"/>
        <w:rPr>
          <w:rFonts w:ascii="Arial" w:hAnsi="Arial" w:cs="Arial"/>
          <w:b/>
          <w:b/>
          <w:sz w:val="24"/>
          <w:szCs w:val="24"/>
          <w:lang w:val="en-US"/>
        </w:rPr>
      </w:pPr>
      <w:r>
        <w:rPr>
          <w:rFonts w:cs="Arial" w:ascii="Arial" w:hAnsi="Arial"/>
          <w:b/>
          <w:sz w:val="24"/>
          <w:szCs w:val="24"/>
          <w:lang w:val="en-US"/>
        </w:rPr>
      </w:r>
    </w:p>
    <w:p>
      <w:pPr>
        <w:pStyle w:val="Normal"/>
        <w:spacing w:lineRule="auto" w:line="240" w:before="0" w:after="240"/>
        <w:jc w:val="both"/>
        <w:rPr/>
      </w:pPr>
      <w:r>
        <w:rPr>
          <w:rFonts w:cs="Arial" w:ascii="Arial" w:hAnsi="Arial"/>
          <w:lang w:val="en-US"/>
          <w:color w:val="auto"/>
          <w:sz w:val="24"/>
          <w:szCs w:val="24"/>
        </w:rPr>
        <w:t xml:space="preserve">Electric arc welding is the main permanent joining process used in the manufacture and maintenance of carbon steel structures and equipment, and the quality of the welded joint depends directly on the selected process and on the control of its variables. This integrative project evaluated and compared the quality and the discontinuities found in ASTM A36 carbon steel butt joints, 9.5 mm thick with a single-V groove, welded in the flat position by the shielded metal arc (SMAW), gas metal arc (GMAW) and gas tungsten arc (GTAW) welding processes. The specimens were submitted to visual and dimensional inspection, liquid penetrant testing, macrographic examination and guided bend testing, using AWS D1.1, ISO 5817 and ASME Section IX as acceptance criteria. The results showed that the GTAW process produced the best quality joints, free of relevant discontinuities, but with the longest execution time. SMAW showed undercut and interpass slag inclusion, still within the acceptance limits, while GMAW, although the most productive, showed surface porosity and lack of sidewall fusion, which led to failure in the root bend test. It is concluded that no process is superior in every aspect: the choice must balance quality, productivity, cost and working conditions, and the correct setting of parameters, joint cleaning, welder qualification and systematic inspection are essential to ensure reliable and safe welded joints.</w:t>
      </w:r>
    </w:p>
    <w:p>
      <w:pPr>
        <w:pStyle w:val="Normal"/>
        <w:spacing w:lineRule="auto" w:line="240" w:before="0" w:after="160"/>
        <w:jc w:val="both"/>
        <w:rPr/>
      </w:pPr>
      <w:r>
        <w:rPr>
          <w:rFonts w:cs="Arial" w:ascii="Arial" w:hAnsi="Arial"/>
          <w:b/>
          <w:bCs/>
          <w:lang w:val="en-US"/>
          <w:color w:val="auto"/>
          <w:sz w:val="24"/>
          <w:szCs w:val="24"/>
        </w:rPr>
        <w:t xml:space="preserve">KEYWORDS:</w:t>
      </w:r>
      <w:r>
        <w:rPr>
          <w:rFonts w:cs="Arial" w:ascii="Arial" w:hAnsi="Arial"/>
          <w:lang w:val="en-US"/>
          <w:color w:val="auto"/>
          <w:sz w:val="24"/>
          <w:szCs w:val="24"/>
        </w:rPr>
        <w:t xml:space="preserve"> Welding. Carbon steel. Discontinuities. GMAW. GTAW. SMAW.</w:t>
      </w:r>
    </w:p>
    <w:p>
      <w:pPr>
        <w:pStyle w:val="Normal"/>
        <w:jc w:val="center"/>
        <w:rPr>
          <w:rFonts w:ascii="Arial" w:hAnsi="Arial" w:cs="Arial"/>
          <w:b/>
          <w:b/>
          <w:sz w:val="24"/>
          <w:szCs w:val="24"/>
        </w:rPr>
      </w:pPr>
      <w:r>
        <w:rPr>
          <w:rFonts w:cs="Arial" w:ascii="Arial" w:hAnsi="Arial"/>
          <w:b/>
          <w:sz w:val="24"/>
          <w:szCs w:val="24"/>
        </w:rPr>
      </w:r>
    </w:p>
    <w:p>
      <w:pPr>
        <w:pStyle w:val="Normal"/>
        <w:jc w:val="center"/>
        <w:rPr>
          <w:rFonts w:ascii="Arial" w:hAnsi="Arial" w:cs="Arial"/>
          <w:b/>
          <w:b/>
          <w:sz w:val="24"/>
          <w:szCs w:val="24"/>
        </w:rPr>
      </w:pPr>
      <w:r>
        <w:rPr>
          <w:rFonts w:cs="Arial" w:ascii="Arial" w:hAnsi="Arial"/>
          <w:b/>
          <w:sz w:val="24"/>
          <w:szCs w:val="24"/>
        </w:rPr>
      </w:r>
    </w:p>
    <w:p>
      <w:pPr>
        <w:pStyle w:val="Normal"/>
        <w:jc w:val="center"/>
        <w:rPr>
          <w:rFonts w:ascii="Arial" w:hAnsi="Arial" w:cs="Arial"/>
          <w:b/>
          <w:b/>
          <w:sz w:val="24"/>
          <w:szCs w:val="24"/>
        </w:rPr>
      </w:pPr>
      <w:r>
        <w:rPr>
          <w:rFonts w:cs="Arial" w:ascii="Arial" w:hAnsi="Arial"/>
          <w:b/>
          <w:sz w:val="24"/>
          <w:szCs w:val="24"/>
        </w:rPr>
      </w:r>
    </w:p>
    <w:p>
      <w:pPr>
        <w:pStyle w:val="Normal"/>
        <w:jc w:val="center"/>
        <w:rPr>
          <w:rFonts w:ascii="Arial" w:hAnsi="Arial" w:cs="Arial"/>
          <w:b/>
          <w:b/>
          <w:sz w:val="24"/>
          <w:szCs w:val="24"/>
        </w:rPr>
      </w:pPr>
      <w:r>
        <w:rPr>
          <w:rFonts w:cs="Arial" w:ascii="Arial" w:hAnsi="Arial"/>
          <w:b/>
          <w:sz w:val="24"/>
          <w:szCs w:val="24"/>
        </w:rPr>
      </w:r>
    </w:p>
    <w:p>
      <w:pPr>
        <w:pStyle w:val="Normal"/>
        <w:jc w:val="center"/>
        <w:rPr>
          <w:rFonts w:ascii="Arial" w:hAnsi="Arial" w:cs="Arial"/>
          <w:b/>
          <w:b/>
          <w:sz w:val="24"/>
          <w:szCs w:val="24"/>
        </w:rPr>
      </w:pPr>
      <w:r>
        <w:rPr>
          <w:rFonts w:cs="Arial" w:ascii="Arial" w:hAnsi="Arial"/>
          <w:b/>
          <w:sz w:val="24"/>
          <w:szCs w:val="24"/>
        </w:rPr>
      </w:r>
    </w:p>
    <w:p>
      <w:pPr>
        <w:pStyle w:val="ContentsHeading"/>
        <w:pageBreakBefore/>
        <w:spacing w:before="0" w:after="360"/>
        <w:jc w:val="center"/>
        <w:rPr/>
      </w:pPr>
      <w:r>
        <w:rPr/>
        <w:t>SUMÁRIO</w:t>
      </w:r>
    </w:p>
    <w:p>
      <w:pPr>
        <w:pStyle w:val="Contents1"/>
        <w:tabs>
          <w:tab w:val="clear" w:pos="9061"/>
          <w:tab w:val="right" w:pos="9070" w:leader="dot"/>
        </w:tabs>
        <w:spacing w:before="0" w:after="80"/>
        <w:rPr/>
      </w:pPr>
      <w:r>
        <w:fldChar w:fldCharType="begin"/>
      </w:r>
      <w:r>
        <w:instrText xml:space="preserve"> TOC \o "1-4" \h </w:instrText>
      </w:r>
      <w:r>
        <w:fldChar w:fldCharType="separate"/>
      </w:r>
      <w:hyperlink w:anchor="_TocPI1001">
        <w:r>
          <w:rPr>
            <w:rStyle w:val="IndexLink"/>
            <w:b/>
            <w:sz w:val="24"/>
          </w:rPr>
          <w:t xml:space="preserve">1 INTRODUÇÃO</w:t>
          <w:tab/>
          <w:t>6</w:t>
        </w:r>
      </w:hyperlink>
    </w:p>
    <w:p>
      <w:pPr>
        <w:pStyle w:val="Contents1"/>
        <w:tabs>
          <w:tab w:val="clear" w:pos="9061"/>
          <w:tab w:val="right" w:pos="9070" w:leader="dot"/>
        </w:tabs>
        <w:spacing w:before="0" w:after="80"/>
        <w:rPr/>
      </w:pPr>
      <w:hyperlink w:anchor="_TocPI1002">
        <w:r>
          <w:rPr>
            <w:rStyle w:val="IndexLink"/>
            <w:b/>
            <w:sz w:val="24"/>
          </w:rPr>
          <w:t xml:space="preserve">2 DESENVOLVIMENTO</w:t>
          <w:tab/>
          <w:t>8</w:t>
        </w:r>
      </w:hyperlink>
    </w:p>
    <w:p>
      <w:pPr>
        <w:pStyle w:val="Contents3"/>
        <w:tabs>
          <w:tab w:val="clear" w:pos="7937"/>
          <w:tab w:val="right" w:pos="9070" w:leader="dot"/>
        </w:tabs>
        <w:spacing w:before="0" w:after="80"/>
        <w:rPr/>
      </w:pPr>
      <w:hyperlink w:anchor="_TocPI1003">
        <w:r>
          <w:rPr>
            <w:rStyle w:val="IndexLink"/>
            <w:sz w:val="24"/>
          </w:rPr>
          <w:t xml:space="preserve">2.1 FUNDAMENTAÇÃO TEÓRICA: A SOLDAGEM DOS AÇOS CARBONO</w:t>
          <w:tab/>
          <w:t>8</w:t>
        </w:r>
      </w:hyperlink>
    </w:p>
    <w:p>
      <w:pPr>
        <w:pStyle w:val="Contents4"/>
        <w:tabs>
          <w:tab w:val="clear" w:pos="7654"/>
          <w:tab w:val="right" w:pos="9070" w:leader="dot"/>
        </w:tabs>
        <w:spacing w:before="0" w:after="80"/>
        <w:rPr/>
      </w:pPr>
      <w:hyperlink w:anchor="_TocPI1004">
        <w:r>
          <w:rPr>
            <w:rStyle w:val="IndexLink"/>
            <w:sz w:val="24"/>
          </w:rPr>
          <w:t xml:space="preserve">2.1.1 Aços Carbono e Soldabilidade</w:t>
          <w:tab/>
          <w:t>8</w:t>
        </w:r>
      </w:hyperlink>
    </w:p>
    <w:p>
      <w:pPr>
        <w:pStyle w:val="Contents4"/>
        <w:tabs>
          <w:tab w:val="clear" w:pos="7654"/>
          <w:tab w:val="right" w:pos="9070" w:leader="dot"/>
        </w:tabs>
        <w:spacing w:before="0" w:after="80"/>
        <w:rPr/>
      </w:pPr>
      <w:hyperlink w:anchor="_TocPI1005">
        <w:r>
          <w:rPr>
            <w:rStyle w:val="IndexLink"/>
            <w:sz w:val="24"/>
          </w:rPr>
          <w:t xml:space="preserve">2.1.2 Regiões da Junta Soldada e Aporte Térmico</w:t>
          <w:tab/>
          <w:t>9</w:t>
        </w:r>
      </w:hyperlink>
    </w:p>
    <w:p>
      <w:pPr>
        <w:pStyle w:val="Contents3"/>
        <w:tabs>
          <w:tab w:val="clear" w:pos="7937"/>
          <w:tab w:val="right" w:pos="9070" w:leader="dot"/>
        </w:tabs>
        <w:spacing w:before="0" w:after="80"/>
        <w:rPr/>
      </w:pPr>
      <w:hyperlink w:anchor="_TocPI1006">
        <w:r>
          <w:rPr>
            <w:rStyle w:val="IndexLink"/>
            <w:sz w:val="24"/>
          </w:rPr>
          <w:t xml:space="preserve">2.2 PROCESSOS DE SOLDAGEM ESTUDADOS</w:t>
          <w:tab/>
          <w:t>10</w:t>
        </w:r>
      </w:hyperlink>
    </w:p>
    <w:p>
      <w:pPr>
        <w:pStyle w:val="Contents4"/>
        <w:tabs>
          <w:tab w:val="clear" w:pos="7654"/>
          <w:tab w:val="right" w:pos="9070" w:leader="dot"/>
        </w:tabs>
        <w:spacing w:before="0" w:after="80"/>
        <w:rPr/>
      </w:pPr>
      <w:hyperlink w:anchor="_TocPI1007">
        <w:r>
          <w:rPr>
            <w:rStyle w:val="IndexLink"/>
            <w:sz w:val="24"/>
          </w:rPr>
          <w:t xml:space="preserve">2.2.1 Soldagem com Eletrodo Revestido (SMAW)</w:t>
          <w:tab/>
          <w:t>10</w:t>
        </w:r>
      </w:hyperlink>
    </w:p>
    <w:p>
      <w:pPr>
        <w:pStyle w:val="Contents4"/>
        <w:tabs>
          <w:tab w:val="clear" w:pos="7654"/>
          <w:tab w:val="right" w:pos="9070" w:leader="dot"/>
        </w:tabs>
        <w:spacing w:before="0" w:after="80"/>
        <w:rPr/>
      </w:pPr>
      <w:hyperlink w:anchor="_TocPI1008">
        <w:r>
          <w:rPr>
            <w:rStyle w:val="IndexLink"/>
            <w:sz w:val="24"/>
          </w:rPr>
          <w:t xml:space="preserve">2.2.2 Soldagem MIG/MAG (GMAW)</w:t>
          <w:tab/>
          <w:t>11</w:t>
        </w:r>
      </w:hyperlink>
    </w:p>
    <w:p>
      <w:pPr>
        <w:pStyle w:val="Contents4"/>
        <w:tabs>
          <w:tab w:val="clear" w:pos="7654"/>
          <w:tab w:val="right" w:pos="9070" w:leader="dot"/>
        </w:tabs>
        <w:spacing w:before="0" w:after="80"/>
        <w:rPr/>
      </w:pPr>
      <w:hyperlink w:anchor="_TocPI1009">
        <w:r>
          <w:rPr>
            <w:rStyle w:val="IndexLink"/>
            <w:sz w:val="24"/>
          </w:rPr>
          <w:t xml:space="preserve">2.2.3 Soldagem TIG (GTAW)</w:t>
          <w:tab/>
          <w:t>12</w:t>
        </w:r>
      </w:hyperlink>
    </w:p>
    <w:p>
      <w:pPr>
        <w:pStyle w:val="Contents4"/>
        <w:tabs>
          <w:tab w:val="clear" w:pos="7654"/>
          <w:tab w:val="right" w:pos="9070" w:leader="dot"/>
        </w:tabs>
        <w:spacing w:before="0" w:after="80"/>
        <w:rPr/>
      </w:pPr>
      <w:hyperlink w:anchor="_TocPI1010">
        <w:r>
          <w:rPr>
            <w:rStyle w:val="IndexLink"/>
            <w:sz w:val="24"/>
          </w:rPr>
          <w:t xml:space="preserve">2.2.4 Comparação entre os Processos</w:t>
          <w:tab/>
          <w:t>12</w:t>
        </w:r>
      </w:hyperlink>
    </w:p>
    <w:p>
      <w:pPr>
        <w:pStyle w:val="Contents3"/>
        <w:tabs>
          <w:tab w:val="clear" w:pos="7937"/>
          <w:tab w:val="right" w:pos="9070" w:leader="dot"/>
        </w:tabs>
        <w:spacing w:before="0" w:after="80"/>
        <w:rPr/>
      </w:pPr>
      <w:hyperlink w:anchor="_TocPI1011">
        <w:r>
          <w:rPr>
            <w:rStyle w:val="IndexLink"/>
            <w:sz w:val="24"/>
          </w:rPr>
          <w:t xml:space="preserve">2.3 DESCONTINUIDADES EM JUNTAS SOLDADAS</w:t>
          <w:tab/>
          <w:t>13</w:t>
        </w:r>
      </w:hyperlink>
    </w:p>
    <w:p>
      <w:pPr>
        <w:pStyle w:val="Contents4"/>
        <w:tabs>
          <w:tab w:val="clear" w:pos="7654"/>
          <w:tab w:val="right" w:pos="9070" w:leader="dot"/>
        </w:tabs>
        <w:spacing w:before="0" w:after="80"/>
        <w:rPr/>
      </w:pPr>
      <w:hyperlink w:anchor="_TocPI1012">
        <w:r>
          <w:rPr>
            <w:rStyle w:val="IndexLink"/>
            <w:sz w:val="24"/>
          </w:rPr>
          <w:t xml:space="preserve">2.3.1 Principais Descontinuidades e suas Causas</w:t>
          <w:tab/>
          <w:t>14</w:t>
        </w:r>
      </w:hyperlink>
    </w:p>
    <w:p>
      <w:pPr>
        <w:pStyle w:val="Contents4"/>
        <w:tabs>
          <w:tab w:val="clear" w:pos="7654"/>
          <w:tab w:val="right" w:pos="9070" w:leader="dot"/>
        </w:tabs>
        <w:spacing w:before="0" w:after="80"/>
        <w:rPr/>
      </w:pPr>
      <w:hyperlink w:anchor="_TocPI1013">
        <w:r>
          <w:rPr>
            <w:rStyle w:val="IndexLink"/>
            <w:sz w:val="24"/>
          </w:rPr>
          <w:t xml:space="preserve">2.3.2 Critérios de Aceitação</w:t>
          <w:tab/>
          <w:t>15</w:t>
        </w:r>
      </w:hyperlink>
    </w:p>
    <w:p>
      <w:pPr>
        <w:pStyle w:val="Contents3"/>
        <w:tabs>
          <w:tab w:val="clear" w:pos="7937"/>
          <w:tab w:val="right" w:pos="9070" w:leader="dot"/>
        </w:tabs>
        <w:spacing w:before="0" w:after="80"/>
        <w:rPr/>
      </w:pPr>
      <w:hyperlink w:anchor="_TocPI1014">
        <w:r>
          <w:rPr>
            <w:rStyle w:val="IndexLink"/>
            <w:sz w:val="24"/>
          </w:rPr>
          <w:t xml:space="preserve">2.4 ENSAIOS PARA AVALIAÇÃO DA QUALIDADE DAS JUNTAS SOLDADAS</w:t>
          <w:tab/>
          <w:t>15</w:t>
        </w:r>
      </w:hyperlink>
    </w:p>
    <w:p>
      <w:pPr>
        <w:pStyle w:val="Contents4"/>
        <w:tabs>
          <w:tab w:val="clear" w:pos="7654"/>
          <w:tab w:val="right" w:pos="9070" w:leader="dot"/>
        </w:tabs>
        <w:spacing w:before="0" w:after="80"/>
        <w:rPr/>
      </w:pPr>
      <w:hyperlink w:anchor="_TocPI1015">
        <w:r>
          <w:rPr>
            <w:rStyle w:val="IndexLink"/>
            <w:sz w:val="24"/>
          </w:rPr>
          <w:t xml:space="preserve">2.4.1 Ensaio Visual e Dimensional</w:t>
          <w:tab/>
          <w:t>16</w:t>
        </w:r>
      </w:hyperlink>
    </w:p>
    <w:p>
      <w:pPr>
        <w:pStyle w:val="Contents4"/>
        <w:tabs>
          <w:tab w:val="clear" w:pos="7654"/>
          <w:tab w:val="right" w:pos="9070" w:leader="dot"/>
        </w:tabs>
        <w:spacing w:before="0" w:after="80"/>
        <w:rPr/>
      </w:pPr>
      <w:hyperlink w:anchor="_TocPI1016">
        <w:r>
          <w:rPr>
            <w:rStyle w:val="IndexLink"/>
            <w:sz w:val="24"/>
          </w:rPr>
          <w:t xml:space="preserve">2.4.2 Ensaio por Líquido Penetrante</w:t>
          <w:tab/>
          <w:t>16</w:t>
        </w:r>
      </w:hyperlink>
    </w:p>
    <w:p>
      <w:pPr>
        <w:pStyle w:val="Contents4"/>
        <w:tabs>
          <w:tab w:val="clear" w:pos="7654"/>
          <w:tab w:val="right" w:pos="9070" w:leader="dot"/>
        </w:tabs>
        <w:spacing w:before="0" w:after="80"/>
        <w:rPr/>
      </w:pPr>
      <w:hyperlink w:anchor="_TocPI1017">
        <w:r>
          <w:rPr>
            <w:rStyle w:val="IndexLink"/>
            <w:sz w:val="24"/>
          </w:rPr>
          <w:t xml:space="preserve">2.4.3 Ensaio Macrográfico</w:t>
          <w:tab/>
          <w:t>16</w:t>
        </w:r>
      </w:hyperlink>
    </w:p>
    <w:p>
      <w:pPr>
        <w:pStyle w:val="Contents4"/>
        <w:tabs>
          <w:tab w:val="clear" w:pos="7654"/>
          <w:tab w:val="right" w:pos="9070" w:leader="dot"/>
        </w:tabs>
        <w:spacing w:before="0" w:after="80"/>
        <w:rPr/>
      </w:pPr>
      <w:hyperlink w:anchor="_TocPI1018">
        <w:r>
          <w:rPr>
            <w:rStyle w:val="IndexLink"/>
            <w:sz w:val="24"/>
          </w:rPr>
          <w:t xml:space="preserve">2.4.4 Ensaio de Dobramento Guiado</w:t>
          <w:tab/>
          <w:t>17</w:t>
        </w:r>
      </w:hyperlink>
    </w:p>
    <w:p>
      <w:pPr>
        <w:pStyle w:val="Contents3"/>
        <w:tabs>
          <w:tab w:val="clear" w:pos="7937"/>
          <w:tab w:val="right" w:pos="9070" w:leader="dot"/>
        </w:tabs>
        <w:spacing w:before="0" w:after="80"/>
        <w:rPr/>
      </w:pPr>
      <w:hyperlink w:anchor="_TocPI1019">
        <w:r>
          <w:rPr>
            <w:rStyle w:val="IndexLink"/>
            <w:sz w:val="24"/>
          </w:rPr>
          <w:t xml:space="preserve">2.5 SEGURANÇA NAS OPERAÇÕES DE SOLDAGEM</w:t>
          <w:tab/>
          <w:t>17</w:t>
        </w:r>
      </w:hyperlink>
    </w:p>
    <w:p>
      <w:pPr>
        <w:pStyle w:val="Contents4"/>
        <w:tabs>
          <w:tab w:val="clear" w:pos="7654"/>
          <w:tab w:val="right" w:pos="9070" w:leader="dot"/>
        </w:tabs>
        <w:spacing w:before="0" w:after="80"/>
        <w:rPr/>
      </w:pPr>
      <w:hyperlink w:anchor="_TocPI1020">
        <w:r>
          <w:rPr>
            <w:rStyle w:val="IndexLink"/>
            <w:sz w:val="24"/>
          </w:rPr>
          <w:t xml:space="preserve">2.5.1 Riscos Físicos e Equipamentos de Proteção Individual</w:t>
          <w:tab/>
          <w:t>17</w:t>
        </w:r>
      </w:hyperlink>
    </w:p>
    <w:p>
      <w:pPr>
        <w:pStyle w:val="Contents4"/>
        <w:tabs>
          <w:tab w:val="clear" w:pos="7654"/>
          <w:tab w:val="right" w:pos="9070" w:leader="dot"/>
        </w:tabs>
        <w:spacing w:before="0" w:after="80"/>
        <w:rPr/>
      </w:pPr>
      <w:hyperlink w:anchor="_TocPI1021">
        <w:r>
          <w:rPr>
            <w:rStyle w:val="IndexLink"/>
            <w:sz w:val="24"/>
          </w:rPr>
          <w:t xml:space="preserve">2.5.2 Fumos, Gases e Riscos de Incêndio</w:t>
          <w:tab/>
          <w:t>18</w:t>
        </w:r>
      </w:hyperlink>
    </w:p>
    <w:p>
      <w:pPr>
        <w:pStyle w:val="Contents3"/>
        <w:tabs>
          <w:tab w:val="clear" w:pos="7937"/>
          <w:tab w:val="right" w:pos="9070" w:leader="dot"/>
        </w:tabs>
        <w:spacing w:before="0" w:after="80"/>
        <w:rPr/>
      </w:pPr>
      <w:hyperlink w:anchor="_TocPI1022">
        <w:r>
          <w:rPr>
            <w:rStyle w:val="IndexLink"/>
            <w:sz w:val="24"/>
          </w:rPr>
          <w:t xml:space="preserve">2.6 METODOLOGIA</w:t>
          <w:tab/>
          <w:t>18</w:t>
        </w:r>
      </w:hyperlink>
    </w:p>
    <w:p>
      <w:pPr>
        <w:pStyle w:val="Contents3"/>
        <w:tabs>
          <w:tab w:val="clear" w:pos="7937"/>
          <w:tab w:val="right" w:pos="9070" w:leader="dot"/>
        </w:tabs>
        <w:spacing w:before="0" w:after="80"/>
        <w:rPr/>
      </w:pPr>
      <w:hyperlink w:anchor="_TocPI1023">
        <w:r>
          <w:rPr>
            <w:rStyle w:val="IndexLink"/>
            <w:sz w:val="24"/>
          </w:rPr>
          <w:t xml:space="preserve">2.7 RESULTADOS E DISCUSSÕES</w:t>
          <w:tab/>
          <w:t>20</w:t>
        </w:r>
      </w:hyperlink>
    </w:p>
    <w:p>
      <w:pPr>
        <w:pStyle w:val="Contents1"/>
        <w:tabs>
          <w:tab w:val="clear" w:pos="9061"/>
          <w:tab w:val="right" w:pos="9070" w:leader="dot"/>
        </w:tabs>
        <w:spacing w:before="0" w:after="80"/>
        <w:rPr/>
      </w:pPr>
      <w:hyperlink w:anchor="_TocPI1024">
        <w:r>
          <w:rPr>
            <w:rStyle w:val="IndexLink"/>
            <w:b/>
            <w:sz w:val="24"/>
          </w:rPr>
          <w:t xml:space="preserve">3 CONCLUSÃO</w:t>
          <w:tab/>
          <w:t>23</w:t>
        </w:r>
      </w:hyperlink>
    </w:p>
    <w:p>
      <w:pPr>
        <w:pStyle w:val="Contents1"/>
        <w:tabs>
          <w:tab w:val="clear" w:pos="9061"/>
          <w:tab w:val="right" w:pos="9070" w:leader="dot"/>
        </w:tabs>
        <w:spacing w:before="0" w:after="80"/>
        <w:rPr/>
      </w:pPr>
      <w:hyperlink w:anchor="_TocPI1025">
        <w:r>
          <w:rPr>
            <w:rStyle w:val="IndexLink"/>
            <w:b/>
            <w:sz w:val="24"/>
          </w:rPr>
          <w:t xml:space="preserve">REFERÊNCIAS</w:t>
          <w:tab/>
          <w:t>24</w:t>
        </w:r>
      </w:hyperlink>
    </w:p>
    <w:p>
      <w:pPr>
        <w:pStyle w:val="Contents1"/>
        <w:tabs>
          <w:tab w:val="clear" w:pos="9061"/>
          <w:tab w:val="right" w:pos="9070" w:leader="dot"/>
        </w:tabs>
        <w:spacing w:before="0" w:after="80"/>
        <w:rPr/>
        <w:sectPr>
          <w:headerReference w:type="even" r:id="rId4"/>
          <w:headerReference w:type="default" r:id="rId5"/>
          <w:headerReference w:type="first" r:id="rId6"/>
          <w:footerReference w:type="even" r:id="rId7"/>
          <w:footerReference w:type="default" r:id="rId8"/>
          <w:footerReference w:type="first" r:id="rId9"/>
          <w:type w:val="nextPage"/>
          <w:pgSz w:w="11909" w:h="16834"/>
          <w:pgMar w:left="1701" w:right="1134" w:gutter="0" w:header="708" w:top="1985" w:footer="708" w:bottom="2098"/>
          <w:pgNumType w:fmt="decimal"/>
          <w:formProt w:val="false"/>
          <w:textDirection w:val="lrTb"/>
          <w:docGrid w:type="default" w:linePitch="360" w:charSpace="0"/>
        </w:sectPr>
      </w:pPr>
      <w:hyperlink w:anchor="_TocPI1026">
        <w:r>
          <w:rPr>
            <w:rStyle w:val="IndexLink"/>
            <w:b/>
            <w:sz w:val="24"/>
          </w:rPr>
          <w:t xml:space="preserve">APÊNDICES</w:t>
          <w:tab/>
          <w:t>26</w:t>
        </w:r>
      </w:hyperlink>
      <w:r>
        <w:fldChar w:fldCharType="end"/>
      </w:r>
    </w:p>
    <w:p>
      <w:pPr>
        <w:pStyle w:val="Heading1"/>
        <w:spacing w:lineRule="auto" w:line="360" w:before="0" w:after="480"/>
        <w:ind w:hanging="0"/>
        <w:jc w:val="left"/>
        <w:rPr/>
      </w:pPr>
      <w:bookmarkStart w:id="1001" w:name="_TocPI1001"/>
      <w:bookmarkEnd w:id="1001"/>
      <w:r>
        <w:rPr>
          <w:rFonts w:cs="Arial" w:ascii="Arial" w:hAnsi="Arial"/>
          <w:b/>
          <w:bCs/>
          <w:color w:val="auto"/>
          <w:sz w:val="24"/>
          <w:szCs w:val="24"/>
        </w:rPr>
        <w:t xml:space="preserve">1 INTRODUÇÃO</w:t>
      </w:r>
    </w:p>
    <w:p>
      <w:pPr>
        <w:pStyle w:val="TextBody"/>
        <w:spacing w:lineRule="auto" w:line="360" w:before="0" w:after="0"/>
        <w:ind w:firstLine="709"/>
        <w:jc w:val="both"/>
        <w:rPr/>
      </w:pPr>
      <w:r>
        <w:rPr>
          <w:rFonts w:cs="Arial" w:ascii="Arial" w:hAnsi="Arial"/>
          <w:color w:val="auto"/>
          <w:sz w:val="24"/>
          <w:szCs w:val="24"/>
        </w:rPr>
        <w:t xml:space="preserve">A soldagem é o principal processo de união permanente de metais empregado na fabricação e na manutenção de estruturas metálicas, vasos de pressão, tubulações, máquinas e equipamentos industriais. Entre os materiais soldados, os aços carbono destacam-se pela ampla disponibilidade, pelo baixo custo e pela boa soldabilidade, o que os torna predominantes em setores como a construção civil, a indústria de celulose e papel, a mineração e o setor sucroenergético (MARQUES; MODENESI; BRACARENSE, 2011).</w:t>
      </w:r>
    </w:p>
    <w:p>
      <w:pPr>
        <w:pStyle w:val="TextBody"/>
        <w:spacing w:lineRule="auto" w:line="360" w:before="0" w:after="0"/>
        <w:ind w:firstLine="709"/>
        <w:jc w:val="both"/>
        <w:rPr/>
      </w:pPr>
      <w:r>
        <w:rPr>
          <w:rFonts w:cs="Arial" w:ascii="Arial" w:hAnsi="Arial"/>
          <w:color w:val="auto"/>
          <w:sz w:val="24"/>
          <w:szCs w:val="24"/>
        </w:rPr>
        <w:t xml:space="preserve">Apesar de sua versatilidade, a soldagem envolve fusão localizada, ciclos térmicos intensos e solidificação rápida, fatores que podem originar descontinuidades na junta, tais como porosidades, inclusões de escória, falta de fusão, falta de penetração, mordeduras e trincas. Quando excedem os limites estabelecidos pelas normas, essas descontinuidades passam a ser consideradas defeitos e podem comprometer a resistência mecânica, a estanqueidade e a vida útil do componente, favorecendo falhas por fadiga, corrosão ou fratura frágil (WAINER; BRANDI; MELLO, 1992).</w:t>
      </w:r>
    </w:p>
    <w:p>
      <w:pPr>
        <w:pStyle w:val="TextBody"/>
        <w:spacing w:lineRule="auto" w:line="360" w:before="0" w:after="0"/>
        <w:ind w:firstLine="709"/>
        <w:jc w:val="both"/>
        <w:rPr/>
      </w:pPr>
      <w:r>
        <w:rPr>
          <w:rFonts w:cs="Arial" w:ascii="Arial" w:hAnsi="Arial"/>
          <w:color w:val="auto"/>
          <w:sz w:val="24"/>
          <w:szCs w:val="24"/>
        </w:rPr>
        <w:t xml:space="preserve">Na prática industrial, os processos de soldagem a arco mais utilizados são o eletrodo revestido (</w:t>
      </w:r>
      <w:r>
        <w:rPr>
          <w:rFonts w:cs="Arial" w:ascii="Arial" w:hAnsi="Arial"/>
          <w:i/>
          <w:iCs/>
          <w:color w:val="auto"/>
          <w:sz w:val="24"/>
          <w:szCs w:val="24"/>
        </w:rPr>
        <w:t xml:space="preserve">Shielded Metal Arc Welding</w:t>
      </w:r>
      <w:r>
        <w:rPr>
          <w:rFonts w:cs="Arial" w:ascii="Arial" w:hAnsi="Arial"/>
          <w:color w:val="auto"/>
          <w:sz w:val="24"/>
          <w:szCs w:val="24"/>
        </w:rPr>
        <w:t xml:space="preserve"> – SMAW), o MIG/MAG (</w:t>
      </w:r>
      <w:r>
        <w:rPr>
          <w:rFonts w:cs="Arial" w:ascii="Arial" w:hAnsi="Arial"/>
          <w:i/>
          <w:iCs/>
          <w:color w:val="auto"/>
          <w:sz w:val="24"/>
          <w:szCs w:val="24"/>
        </w:rPr>
        <w:t xml:space="preserve">Gas Metal Arc Welding</w:t>
      </w:r>
      <w:r>
        <w:rPr>
          <w:rFonts w:cs="Arial" w:ascii="Arial" w:hAnsi="Arial"/>
          <w:color w:val="auto"/>
          <w:sz w:val="24"/>
          <w:szCs w:val="24"/>
        </w:rPr>
        <w:t xml:space="preserve"> – GMAW) e o TIG (</w:t>
      </w:r>
      <w:r>
        <w:rPr>
          <w:rFonts w:cs="Arial" w:ascii="Arial" w:hAnsi="Arial"/>
          <w:i/>
          <w:iCs/>
          <w:color w:val="auto"/>
          <w:sz w:val="24"/>
          <w:szCs w:val="24"/>
        </w:rPr>
        <w:t xml:space="preserve">Gas Tungsten Arc Welding</w:t>
      </w:r>
      <w:r>
        <w:rPr>
          <w:rFonts w:cs="Arial" w:ascii="Arial" w:hAnsi="Arial"/>
          <w:color w:val="auto"/>
          <w:sz w:val="24"/>
          <w:szCs w:val="24"/>
        </w:rPr>
        <w:t xml:space="preserve"> – GTAW). Cada um apresenta características próprias de proteção do arco, produtividade, custo, facilidade operacional e sensibilidade a variáveis como umidade, correntes de ar e habilidade do soldador, o que resulta em diferentes tendências à formação de descontinuidades. Dessa forma, a escolha do processo exerce influência direta sobre a qualidade final da junta soldada.</w:t>
      </w:r>
    </w:p>
    <w:p>
      <w:pPr>
        <w:pStyle w:val="TextBody"/>
        <w:spacing w:lineRule="auto" w:line="360" w:before="0" w:after="0"/>
        <w:ind w:firstLine="709"/>
        <w:jc w:val="both"/>
        <w:rPr/>
      </w:pPr>
      <w:r>
        <w:rPr>
          <w:rFonts w:cs="Arial" w:ascii="Arial" w:hAnsi="Arial"/>
          <w:color w:val="auto"/>
          <w:sz w:val="24"/>
          <w:szCs w:val="24"/>
        </w:rPr>
        <w:t xml:space="preserve">Diante desse cenário, formula-se a seguinte questão de pesquisa: qual dos três processos de soldagem mais empregados na indústria apresenta melhor desempenho em relação à qualidade e à incidência de descontinuidades em juntas de aço carbono, considerando as condições de uma oficina de manutenção?</w:t>
      </w:r>
    </w:p>
    <w:p>
      <w:pPr>
        <w:pStyle w:val="TextBody"/>
        <w:spacing w:lineRule="auto" w:line="360" w:before="0" w:after="0"/>
        <w:ind w:firstLine="709"/>
        <w:jc w:val="both"/>
        <w:rPr/>
      </w:pPr>
      <w:r>
        <w:rPr>
          <w:rFonts w:cs="Arial" w:ascii="Arial" w:hAnsi="Arial"/>
          <w:color w:val="auto"/>
          <w:sz w:val="24"/>
          <w:szCs w:val="24"/>
        </w:rPr>
        <w:t xml:space="preserve">O objetivo geral deste projeto integrador é avaliar e comparar a qualidade e as descontinuidades presentes em juntas soldadas de aço carbono executadas pelos processos MIG/MAG, TIG e eletrodo revestido. Como objetivos específicos, buscou-se:</w:t>
      </w:r>
    </w:p>
    <w:p>
      <w:pPr>
        <w:pStyle w:val="TextBody"/>
        <w:spacing w:lineRule="auto" w:line="360" w:before="0" w:after="0"/>
        <w:ind w:left="709" w:hanging="0"/>
        <w:jc w:val="both"/>
        <w:rPr/>
      </w:pPr>
      <w:r>
        <w:rPr>
          <w:rFonts w:cs="Arial" w:ascii="Arial" w:hAnsi="Arial"/>
          <w:color w:val="auto"/>
          <w:sz w:val="24"/>
          <w:szCs w:val="24"/>
        </w:rPr>
        <w:t xml:space="preserve">a) descrever os fundamentos, os equipamentos e os consumíveis de cada processo de soldagem estudado;</w:t>
      </w:r>
    </w:p>
    <w:p>
      <w:pPr>
        <w:pStyle w:val="TextBody"/>
        <w:spacing w:lineRule="auto" w:line="360" w:before="0" w:after="0"/>
        <w:ind w:left="709" w:hanging="0"/>
        <w:jc w:val="both"/>
        <w:rPr/>
      </w:pPr>
      <w:r>
        <w:rPr>
          <w:rFonts w:cs="Arial" w:ascii="Arial" w:hAnsi="Arial"/>
          <w:color w:val="auto"/>
          <w:sz w:val="24"/>
          <w:szCs w:val="24"/>
        </w:rPr>
        <w:t xml:space="preserve">b) identificar e classificar as principais descontinuidades que ocorrem em juntas soldadas de aço carbono e suas causas;</w:t>
      </w:r>
    </w:p>
    <w:p>
      <w:pPr>
        <w:pStyle w:val="TextBody"/>
        <w:spacing w:lineRule="auto" w:line="360" w:before="0" w:after="0"/>
        <w:ind w:left="709" w:hanging="0"/>
        <w:jc w:val="both"/>
        <w:rPr/>
      </w:pPr>
      <w:r>
        <w:rPr>
          <w:rFonts w:cs="Arial" w:ascii="Arial" w:hAnsi="Arial"/>
          <w:color w:val="auto"/>
          <w:sz w:val="24"/>
          <w:szCs w:val="24"/>
        </w:rPr>
        <w:t xml:space="preserve">c) confeccionar corpos de prova soldados pelos três processos sob condições controladas e comparáveis;</w:t>
      </w:r>
    </w:p>
    <w:p>
      <w:pPr>
        <w:pStyle w:val="TextBody"/>
        <w:spacing w:lineRule="auto" w:line="360" w:before="0" w:after="0"/>
        <w:ind w:left="709" w:hanging="0"/>
        <w:jc w:val="both"/>
        <w:rPr/>
      </w:pPr>
      <w:r>
        <w:rPr>
          <w:rFonts w:cs="Arial" w:ascii="Arial" w:hAnsi="Arial"/>
          <w:color w:val="auto"/>
          <w:sz w:val="24"/>
          <w:szCs w:val="24"/>
        </w:rPr>
        <w:t xml:space="preserve">d) avaliar os corpos de prova por meio de ensaio visual e dimensional, ensaio por líquido penetrante, ensaio macrográfico e ensaio de dobramento guiado;</w:t>
      </w:r>
    </w:p>
    <w:p>
      <w:pPr>
        <w:pStyle w:val="TextBody"/>
        <w:spacing w:lineRule="auto" w:line="360" w:before="0" w:after="0"/>
        <w:ind w:left="709" w:hanging="0"/>
        <w:jc w:val="both"/>
        <w:rPr/>
      </w:pPr>
      <w:r>
        <w:rPr>
          <w:rFonts w:cs="Arial" w:ascii="Arial" w:hAnsi="Arial"/>
          <w:color w:val="auto"/>
          <w:sz w:val="24"/>
          <w:szCs w:val="24"/>
        </w:rPr>
        <w:t xml:space="preserve">e) comparar os resultados obtidos e propor recomendações para a seleção do processo mais adequado a cada aplicação.</w:t>
      </w:r>
    </w:p>
    <w:p>
      <w:pPr>
        <w:pStyle w:val="TextBody"/>
        <w:spacing w:lineRule="auto" w:line="360" w:before="0" w:after="0"/>
        <w:ind w:firstLine="709"/>
        <w:jc w:val="both"/>
        <w:rPr/>
      </w:pPr>
      <w:r>
        <w:rPr>
          <w:rFonts w:cs="Arial" w:ascii="Arial" w:hAnsi="Arial"/>
          <w:color w:val="auto"/>
          <w:sz w:val="24"/>
          <w:szCs w:val="24"/>
        </w:rPr>
        <w:t xml:space="preserve">A relevância deste estudo justifica-se pela necessidade de o técnico em mecânica compreender a relação entre o processo de soldagem, os parâmetros operacionais e a qualidade da junta, uma vez que falhas em componentes soldados representam riscos à segurança das pessoas e perdas econômicas decorrentes de retrabalho, paradas não programadas e substituição de componentes. Além disso, o trabalho integra conhecimentos de metalurgia, processos de fabricação, ensaios de materiais e segurança do trabalho adquiridos ao longo do curso.</w:t>
      </w:r>
    </w:p>
    <w:p>
      <w:pPr>
        <w:pStyle w:val="Heading1"/>
        <w:pageBreakBefore/>
        <w:spacing w:lineRule="auto" w:line="360" w:before="0" w:after="480"/>
        <w:ind w:hanging="0"/>
        <w:jc w:val="left"/>
        <w:rPr/>
      </w:pPr>
      <w:bookmarkStart w:id="1002" w:name="_TocPI1002"/>
      <w:bookmarkEnd w:id="1002"/>
      <w:r>
        <w:rPr>
          <w:rFonts w:cs="Arial" w:ascii="Arial" w:hAnsi="Arial"/>
          <w:b/>
          <w:bCs/>
          <w:color w:val="auto"/>
          <w:sz w:val="24"/>
          <w:szCs w:val="24"/>
        </w:rPr>
        <w:t xml:space="preserve">2 DESENVOLVIMENTO</w:t>
      </w:r>
    </w:p>
    <w:p>
      <w:pPr>
        <w:pStyle w:val="TextBody"/>
        <w:spacing w:lineRule="auto" w:line="360" w:before="0" w:after="0"/>
        <w:ind w:firstLine="709"/>
        <w:jc w:val="both"/>
        <w:rPr/>
      </w:pPr>
      <w:r>
        <w:rPr>
          <w:rFonts w:cs="Arial" w:ascii="Arial" w:hAnsi="Arial"/>
          <w:color w:val="auto"/>
          <w:sz w:val="24"/>
          <w:szCs w:val="24"/>
        </w:rPr>
        <w:t xml:space="preserve">Neste capítulo, apresenta-se a fundamentação teórica que sustenta o estudo, abordando a soldabilidade dos aços carbono, os princípios de funcionamento dos processos eletrodo revestido, MIG/MAG e TIG, a classificação das descontinuidades em juntas soldadas e os ensaios empregados na avaliação da qualidade. Em seguida, são descritos os aspectos de segurança do trabalho envolvidos nas operações de soldagem, a metodologia experimental adotada e os resultados obtidos, discutidos à luz da literatura técnica e das normas aplicáveis.</w:t>
      </w:r>
    </w:p>
    <w:p>
      <w:pPr>
        <w:pStyle w:val="Heading3"/>
        <w:keepNext/>
        <w:spacing w:lineRule="auto" w:line="360" w:before="480" w:after="240"/>
        <w:ind w:hanging="0"/>
        <w:jc w:val="both"/>
        <w:rPr/>
      </w:pPr>
      <w:bookmarkStart w:id="1003" w:name="_TocPI1003"/>
      <w:bookmarkEnd w:id="1003"/>
      <w:r>
        <w:rPr>
          <w:rFonts w:cs="Arial" w:ascii="Arial" w:hAnsi="Arial"/>
          <w:color w:val="auto"/>
          <w:sz w:val="24"/>
          <w:szCs w:val="24"/>
        </w:rPr>
        <w:t xml:space="preserve">2.1 FUNDAMENTAÇÃO TEÓRICA: A SOLDAGEM DOS AÇOS CARBONO</w:t>
      </w:r>
    </w:p>
    <w:p>
      <w:pPr>
        <w:pStyle w:val="TextBody"/>
        <w:spacing w:lineRule="auto" w:line="360" w:before="0" w:after="0"/>
        <w:ind w:firstLine="709"/>
        <w:jc w:val="both"/>
        <w:rPr/>
      </w:pPr>
      <w:r>
        <w:rPr>
          <w:rFonts w:cs="Arial" w:ascii="Arial" w:hAnsi="Arial"/>
          <w:color w:val="auto"/>
          <w:sz w:val="24"/>
          <w:szCs w:val="24"/>
        </w:rPr>
        <w:t xml:space="preserve">Segundo a American Welding Society (AWS, 2020b), soldagem é o processo de união de materiais que produz a coalescência por meio do aquecimento até temperaturas adequadas, com ou sem aplicação de pressão e com ou sem metal de adição. Nos processos a arco elétrico, a fonte de calor é um arco estabelecido entre um eletrodo e a peça, cuja temperatura supera 5.000 °C, suficiente para fundir localmente o metal de base e o metal de adição e formar a poça de fusão (MARQUES; MODENESI; BRACARENSE, 2011).</w:t>
      </w:r>
    </w:p>
    <w:p>
      <w:pPr>
        <w:pStyle w:val="Heading4"/>
        <w:keepNext/>
        <w:spacing w:lineRule="auto" w:line="360" w:before="360" w:after="240"/>
        <w:ind w:hanging="0"/>
        <w:jc w:val="both"/>
        <w:rPr/>
      </w:pPr>
      <w:bookmarkStart w:id="1004" w:name="_TocPI1004"/>
      <w:bookmarkEnd w:id="1004"/>
      <w:r>
        <w:rPr>
          <w:rFonts w:cs="Arial" w:ascii="Arial" w:hAnsi="Arial"/>
          <w:b/>
          <w:bCs/>
          <w:color w:val="auto"/>
          <w:sz w:val="24"/>
          <w:szCs w:val="24"/>
        </w:rPr>
        <w:t xml:space="preserve">2.1.1 Aços Carbono e Soldabilidade</w:t>
      </w:r>
    </w:p>
    <w:p>
      <w:pPr>
        <w:pStyle w:val="TextBody"/>
        <w:spacing w:lineRule="auto" w:line="360" w:before="0" w:after="0"/>
        <w:ind w:firstLine="709"/>
        <w:jc w:val="both"/>
        <w:rPr/>
      </w:pPr>
      <w:r>
        <w:rPr>
          <w:rFonts w:cs="Arial" w:ascii="Arial" w:hAnsi="Arial"/>
          <w:color w:val="auto"/>
          <w:sz w:val="24"/>
          <w:szCs w:val="24"/>
        </w:rPr>
        <w:t xml:space="preserve">Os aços carbono são ligas de ferro e carbono com teor de carbono de até aproximadamente 2,0 %, contendo ainda pequenas quantidades de manganês, silício, fósforo e enxofre, provenientes do processo de fabricação. De acordo com o teor de carbono, classificam-se em aços de baixo carbono (até 0,30 %), de médio carbono (entre 0,30 % e 0,60 %) e de alto carbono (acima de 0,60 %) (CHIAVERINI, 2005). Os aços estruturais, como o ASTM A36, pertencem ao grupo de baixo carbono e são os mais soldados na indústria (ASTM, 2019).</w:t>
      </w:r>
    </w:p>
    <w:p>
      <w:pPr>
        <w:pStyle w:val="TextBody"/>
        <w:spacing w:lineRule="auto" w:line="360" w:before="0" w:after="0"/>
        <w:ind w:firstLine="709"/>
        <w:jc w:val="both"/>
        <w:rPr/>
      </w:pPr>
      <w:r>
        <w:rPr>
          <w:rFonts w:cs="Arial" w:ascii="Arial" w:hAnsi="Arial"/>
          <w:color w:val="auto"/>
          <w:sz w:val="24"/>
          <w:szCs w:val="24"/>
        </w:rPr>
        <w:t xml:space="preserve">A soldabilidade expressa a facilidade com que um material pode ser soldado, produzindo uma junta capaz de desempenhar satisfatoriamente a função para a qual foi projetada. Nos aços carbono, ela é governada principalmente pelo teor de carbono e de elementos de liga, que elevam a temperabilidade e favorecem a formação de martensita na região aquecida pela soldagem, aumentando o risco de trincas a frio induzidas por hidrogênio (MODENESI; MARQUES; SANTOS, 2012). Um indicador usual dessa tendência é o carbono equivalente proposto pelo </w:t>
      </w:r>
      <w:r>
        <w:rPr>
          <w:rFonts w:cs="Arial" w:ascii="Arial" w:hAnsi="Arial"/>
          <w:i/>
          <w:iCs/>
          <w:color w:val="auto"/>
          <w:sz w:val="24"/>
          <w:szCs w:val="24"/>
        </w:rPr>
        <w:t xml:space="preserve">International Institute of Welding</w:t>
      </w:r>
      <w:r>
        <w:rPr>
          <w:rFonts w:cs="Arial" w:ascii="Arial" w:hAnsi="Arial"/>
          <w:color w:val="auto"/>
          <w:sz w:val="24"/>
          <w:szCs w:val="24"/>
        </w:rPr>
        <w:t xml:space="preserve"> (IIW), expresso pela Equação 1:</w:t>
      </w:r>
    </w:p>
    <w:p>
      <w:pPr>
        <w:pStyle w:val="TextBody"/>
        <w:tabs>
          <w:tab w:val="center" w:pos="4535"/>
          <w:tab w:val="right" w:pos="9070"/>
        </w:tabs>
        <w:spacing w:lineRule="auto" w:line="360" w:before="120" w:after="120"/>
        <w:jc w:val="left"/>
        <w:rPr/>
      </w:pPr>
      <w:r>
        <w:rPr>
          <w:rFonts w:cs="Arial" w:ascii="Arial" w:hAnsi="Arial"/>
          <w:color w:val="auto"/>
          <w:sz w:val="24"/>
          <w:szCs w:val="24"/>
        </w:rPr>
        <w:t xml:space="preserve"/>
        <w:tab/>
        <w:t xml:space="preserve">CE = C + Mn/6 + (Cr + Mo + V)/5 + (Ni + Cu)/15</w:t>
        <w:tab/>
        <w:t xml:space="preserve">(1)</w:t>
      </w:r>
    </w:p>
    <w:p>
      <w:pPr>
        <w:pStyle w:val="TextBody"/>
        <w:spacing w:lineRule="auto" w:line="360" w:before="0" w:after="0"/>
        <w:ind w:firstLine="709"/>
        <w:jc w:val="both"/>
        <w:rPr/>
      </w:pPr>
      <w:r>
        <w:rPr>
          <w:rFonts w:cs="Arial" w:ascii="Arial" w:hAnsi="Arial"/>
          <w:color w:val="auto"/>
          <w:sz w:val="24"/>
          <w:szCs w:val="24"/>
        </w:rPr>
        <w:t xml:space="preserve">Em que os símbolos químicos representam os teores, em porcentagem de massa, de cada elemento no aço. De modo geral, aços com CE inferior a 0,40 % apresentam boa soldabilidade e dispensam preaquecimento em espessuras moderadas, enquanto valores superiores exigem cuidados como preaquecimento, controle da temperatura de interpasse e uso de consumíveis de baixo hidrogênio (MODENESI; MARQUES; SANTOS, 2012).</w:t>
      </w:r>
    </w:p>
    <w:p>
      <w:pPr>
        <w:pStyle w:val="Heading4"/>
        <w:keepNext/>
        <w:spacing w:lineRule="auto" w:line="360" w:before="360" w:after="240"/>
        <w:ind w:hanging="0"/>
        <w:jc w:val="both"/>
        <w:rPr/>
      </w:pPr>
      <w:bookmarkStart w:id="1005" w:name="_TocPI1005"/>
      <w:bookmarkEnd w:id="1005"/>
      <w:r>
        <w:rPr>
          <w:rFonts w:cs="Arial" w:ascii="Arial" w:hAnsi="Arial"/>
          <w:b/>
          <w:bCs/>
          <w:color w:val="auto"/>
          <w:sz w:val="24"/>
          <w:szCs w:val="24"/>
        </w:rPr>
        <w:t xml:space="preserve">2.1.2 Regiões da Junta Soldada e Aporte Térmico</w:t>
      </w:r>
    </w:p>
    <w:p>
      <w:pPr>
        <w:pStyle w:val="TextBody"/>
        <w:spacing w:lineRule="auto" w:line="360" w:before="0" w:after="0"/>
        <w:ind w:firstLine="709"/>
        <w:jc w:val="both"/>
        <w:rPr/>
      </w:pPr>
      <w:r>
        <w:rPr>
          <w:rFonts w:cs="Arial" w:ascii="Arial" w:hAnsi="Arial"/>
          <w:color w:val="auto"/>
          <w:sz w:val="24"/>
          <w:szCs w:val="24"/>
        </w:rPr>
        <w:t xml:space="preserve">Durante a soldagem por fusão, o ciclo térmico imposto ao material dá origem a três regiões com características metalúrgicas distintas (WAINER; BRANDI; MELLO, 1992):</w:t>
      </w:r>
    </w:p>
    <w:p>
      <w:pPr>
        <w:pStyle w:val="TextBody"/>
        <w:spacing w:lineRule="auto" w:line="360" w:before="0" w:after="0"/>
        <w:ind w:left="709" w:hanging="0"/>
        <w:jc w:val="both"/>
        <w:rPr/>
      </w:pPr>
      <w:r>
        <w:rPr>
          <w:rFonts w:cs="Arial" w:ascii="Arial" w:hAnsi="Arial"/>
          <w:color w:val="auto"/>
          <w:sz w:val="24"/>
          <w:szCs w:val="24"/>
        </w:rPr>
        <w:t xml:space="preserve">a) </w:t>
      </w:r>
      <w:r>
        <w:rPr>
          <w:rFonts w:cs="Arial" w:ascii="Arial" w:hAnsi="Arial"/>
          <w:b/>
          <w:bCs/>
          <w:color w:val="auto"/>
          <w:sz w:val="24"/>
          <w:szCs w:val="24"/>
        </w:rPr>
        <w:t xml:space="preserve">Zona fundida (ZF):</w:t>
      </w:r>
      <w:r>
        <w:rPr>
          <w:rFonts w:cs="Arial" w:ascii="Arial" w:hAnsi="Arial"/>
          <w:color w:val="auto"/>
          <w:sz w:val="24"/>
          <w:szCs w:val="24"/>
        </w:rPr>
        <w:t xml:space="preserve"> região em que o metal de base e o metal de adição foram completamente fundidos e se solidificaram, formando o cordão de solda. Nela podem ocorrer porosidades, inclusões e trincas de solidificação;</w:t>
      </w:r>
    </w:p>
    <w:p>
      <w:pPr>
        <w:pStyle w:val="TextBody"/>
        <w:spacing w:lineRule="auto" w:line="360" w:before="0" w:after="0"/>
        <w:ind w:left="709" w:hanging="0"/>
        <w:jc w:val="both"/>
        <w:rPr/>
      </w:pPr>
      <w:r>
        <w:rPr>
          <w:rFonts w:cs="Arial" w:ascii="Arial" w:hAnsi="Arial"/>
          <w:color w:val="auto"/>
          <w:sz w:val="24"/>
          <w:szCs w:val="24"/>
        </w:rPr>
        <w:t xml:space="preserve">b) </w:t>
      </w:r>
      <w:r>
        <w:rPr>
          <w:rFonts w:cs="Arial" w:ascii="Arial" w:hAnsi="Arial"/>
          <w:b/>
          <w:bCs/>
          <w:color w:val="auto"/>
          <w:sz w:val="24"/>
          <w:szCs w:val="24"/>
        </w:rPr>
        <w:t xml:space="preserve">Zona termicamente afetada (ZTA):</w:t>
      </w:r>
      <w:r>
        <w:rPr>
          <w:rFonts w:cs="Arial" w:ascii="Arial" w:hAnsi="Arial"/>
          <w:color w:val="auto"/>
          <w:sz w:val="24"/>
          <w:szCs w:val="24"/>
        </w:rPr>
        <w:t xml:space="preserve"> região do metal de base que não se fundiu, mas cuja microestrutura e cujas propriedades foram alteradas pelo calor da soldagem. É a região mais sensível à formação de microestruturas frágeis e trincas a frio;</w:t>
      </w:r>
    </w:p>
    <w:p>
      <w:pPr>
        <w:pStyle w:val="TextBody"/>
        <w:spacing w:lineRule="auto" w:line="360" w:before="0" w:after="0"/>
        <w:ind w:left="709" w:hanging="0"/>
        <w:jc w:val="both"/>
        <w:rPr/>
      </w:pPr>
      <w:r>
        <w:rPr>
          <w:rFonts w:cs="Arial" w:ascii="Arial" w:hAnsi="Arial"/>
          <w:color w:val="auto"/>
          <w:sz w:val="24"/>
          <w:szCs w:val="24"/>
        </w:rPr>
        <w:t xml:space="preserve">c) </w:t>
      </w:r>
      <w:r>
        <w:rPr>
          <w:rFonts w:cs="Arial" w:ascii="Arial" w:hAnsi="Arial"/>
          <w:b/>
          <w:bCs/>
          <w:color w:val="auto"/>
          <w:sz w:val="24"/>
          <w:szCs w:val="24"/>
        </w:rPr>
        <w:t xml:space="preserve">Metal de base (MB):</w:t>
      </w:r>
      <w:r>
        <w:rPr>
          <w:rFonts w:cs="Arial" w:ascii="Arial" w:hAnsi="Arial"/>
          <w:color w:val="auto"/>
          <w:sz w:val="24"/>
          <w:szCs w:val="24"/>
        </w:rPr>
        <w:t xml:space="preserve"> região afastada do cordão, que não sofreu alterações microestruturais significativas.</w:t>
      </w:r>
    </w:p>
    <w:p>
      <w:pPr>
        <w:pStyle w:val="TextBody"/>
        <w:spacing w:lineRule="auto" w:line="360" w:before="0" w:after="0"/>
        <w:ind w:firstLine="709"/>
        <w:jc w:val="both"/>
        <w:rPr/>
      </w:pPr>
      <w:r>
        <w:rPr>
          <w:rFonts w:cs="Arial" w:ascii="Arial" w:hAnsi="Arial"/>
          <w:color w:val="auto"/>
          <w:sz w:val="24"/>
          <w:szCs w:val="24"/>
        </w:rPr>
        <w:t xml:space="preserve">A extensão da ZTA e a velocidade de resfriamento da junta dependem do aporte térmico (energia de soldagem), definido como a quantidade de calor transferida à peça por unidade de comprimento do cordão, conforme a Equação 2:</w:t>
      </w:r>
    </w:p>
    <w:p>
      <w:pPr>
        <w:pStyle w:val="TextBody"/>
        <w:tabs>
          <w:tab w:val="center" w:pos="4535"/>
          <w:tab w:val="right" w:pos="9070"/>
        </w:tabs>
        <w:spacing w:lineRule="auto" w:line="360" w:before="120" w:after="120"/>
        <w:jc w:val="left"/>
        <w:rPr/>
      </w:pPr>
      <w:r>
        <w:rPr>
          <w:rFonts w:cs="Arial" w:ascii="Arial" w:hAnsi="Arial"/>
          <w:color w:val="auto"/>
          <w:sz w:val="24"/>
          <w:szCs w:val="24"/>
        </w:rPr>
        <w:t xml:space="preserve"/>
        <w:tab/>
        <w:t xml:space="preserve">H = (η × U × I) / v</w:t>
        <w:tab/>
        <w:t xml:space="preserve">(2)</w:t>
      </w:r>
    </w:p>
    <w:p>
      <w:pPr>
        <w:pStyle w:val="TextBody"/>
        <w:spacing w:lineRule="auto" w:line="360" w:before="0" w:after="0"/>
        <w:ind w:firstLine="709"/>
        <w:jc w:val="both"/>
        <w:rPr/>
      </w:pPr>
      <w:r>
        <w:rPr>
          <w:rFonts w:cs="Arial" w:ascii="Arial" w:hAnsi="Arial"/>
          <w:color w:val="auto"/>
          <w:sz w:val="24"/>
          <w:szCs w:val="24"/>
        </w:rPr>
        <w:t xml:space="preserve">Em que </w:t>
      </w:r>
      <w:r>
        <w:rPr>
          <w:rFonts w:cs="Arial" w:ascii="Arial" w:hAnsi="Arial"/>
          <w:i/>
          <w:iCs/>
          <w:color w:val="auto"/>
          <w:sz w:val="24"/>
          <w:szCs w:val="24"/>
        </w:rPr>
        <w:t xml:space="preserve">H</w:t>
      </w:r>
      <w:r>
        <w:rPr>
          <w:rFonts w:cs="Arial" w:ascii="Arial" w:hAnsi="Arial"/>
          <w:color w:val="auto"/>
          <w:sz w:val="24"/>
          <w:szCs w:val="24"/>
        </w:rPr>
        <w:t xml:space="preserve"> é o aporte térmico (J/mm), </w:t>
      </w:r>
      <w:r>
        <w:rPr>
          <w:rFonts w:cs="Arial" w:ascii="Arial" w:hAnsi="Arial"/>
          <w:i/>
          <w:iCs/>
          <w:color w:val="auto"/>
          <w:sz w:val="24"/>
          <w:szCs w:val="24"/>
        </w:rPr>
        <w:t xml:space="preserve">η</w:t>
      </w:r>
      <w:r>
        <w:rPr>
          <w:rFonts w:cs="Arial" w:ascii="Arial" w:hAnsi="Arial"/>
          <w:color w:val="auto"/>
          <w:sz w:val="24"/>
          <w:szCs w:val="24"/>
        </w:rPr>
        <w:t xml:space="preserve"> é o rendimento térmico do processo, </w:t>
      </w:r>
      <w:r>
        <w:rPr>
          <w:rFonts w:cs="Arial" w:ascii="Arial" w:hAnsi="Arial"/>
          <w:i/>
          <w:iCs/>
          <w:color w:val="auto"/>
          <w:sz w:val="24"/>
          <w:szCs w:val="24"/>
        </w:rPr>
        <w:t xml:space="preserve">U</w:t>
      </w:r>
      <w:r>
        <w:rPr>
          <w:rFonts w:cs="Arial" w:ascii="Arial" w:hAnsi="Arial"/>
          <w:color w:val="auto"/>
          <w:sz w:val="24"/>
          <w:szCs w:val="24"/>
        </w:rPr>
        <w:t xml:space="preserve"> é a tensão do arco (V), </w:t>
      </w:r>
      <w:r>
        <w:rPr>
          <w:rFonts w:cs="Arial" w:ascii="Arial" w:hAnsi="Arial"/>
          <w:i/>
          <w:iCs/>
          <w:color w:val="auto"/>
          <w:sz w:val="24"/>
          <w:szCs w:val="24"/>
        </w:rPr>
        <w:t xml:space="preserve">I</w:t>
      </w:r>
      <w:r>
        <w:rPr>
          <w:rFonts w:cs="Arial" w:ascii="Arial" w:hAnsi="Arial"/>
          <w:color w:val="auto"/>
          <w:sz w:val="24"/>
          <w:szCs w:val="24"/>
        </w:rPr>
        <w:t xml:space="preserve"> é a corrente de soldagem (A) e </w:t>
      </w:r>
      <w:r>
        <w:rPr>
          <w:rFonts w:cs="Arial" w:ascii="Arial" w:hAnsi="Arial"/>
          <w:i/>
          <w:iCs/>
          <w:color w:val="auto"/>
          <w:sz w:val="24"/>
          <w:szCs w:val="24"/>
        </w:rPr>
        <w:t xml:space="preserve">v</w:t>
      </w:r>
      <w:r>
        <w:rPr>
          <w:rFonts w:cs="Arial" w:ascii="Arial" w:hAnsi="Arial"/>
          <w:color w:val="auto"/>
          <w:sz w:val="24"/>
          <w:szCs w:val="24"/>
        </w:rPr>
        <w:t xml:space="preserve"> é a velocidade de soldagem (mm/s). O rendimento térmico usualmente adotado é de 0,8 para os processos eletrodo revestido e MIG/MAG e de 0,6 para o processo TIG (MARQUES; MODENESI; BRACARENSE, 2011). Aportes muito baixos favorecem a falta de fusão e o resfriamento rápido, enquanto aportes excessivos ampliam a ZTA, provocam distorções e reduzem a tenacidade da junta.</w:t>
      </w:r>
    </w:p>
    <w:p>
      <w:pPr>
        <w:pStyle w:val="Heading3"/>
        <w:keepNext/>
        <w:spacing w:lineRule="auto" w:line="360" w:before="480" w:after="240"/>
        <w:ind w:hanging="0"/>
        <w:jc w:val="both"/>
        <w:rPr/>
      </w:pPr>
      <w:bookmarkStart w:id="1006" w:name="_TocPI1006"/>
      <w:bookmarkEnd w:id="1006"/>
      <w:r>
        <w:rPr>
          <w:rFonts w:cs="Arial" w:ascii="Arial" w:hAnsi="Arial"/>
          <w:color w:val="auto"/>
          <w:sz w:val="24"/>
          <w:szCs w:val="24"/>
        </w:rPr>
        <w:t xml:space="preserve">2.2 PROCESSOS DE SOLDAGEM ESTUDADOS</w:t>
      </w:r>
    </w:p>
    <w:p>
      <w:pPr>
        <w:pStyle w:val="TextBody"/>
        <w:spacing w:lineRule="auto" w:line="360" w:before="0" w:after="0"/>
        <w:ind w:firstLine="709"/>
        <w:jc w:val="both"/>
        <w:rPr/>
      </w:pPr>
      <w:r>
        <w:rPr>
          <w:rFonts w:cs="Arial" w:ascii="Arial" w:hAnsi="Arial"/>
          <w:color w:val="auto"/>
          <w:sz w:val="24"/>
          <w:szCs w:val="24"/>
        </w:rPr>
        <w:t xml:space="preserve">Os três processos avaliados neste trabalho utilizam o arco elétrico como fonte de calor, mas diferem quanto ao tipo de eletrodo, à forma de proteção da poça de fusão contra a contaminação atmosférica e ao grau de automação possível. Essas diferenças determinam a produtividade, o custo e o tipo de descontinuidade mais provável em cada caso.</w:t>
      </w:r>
    </w:p>
    <w:p>
      <w:pPr>
        <w:pStyle w:val="Heading4"/>
        <w:keepNext/>
        <w:spacing w:lineRule="auto" w:line="360" w:before="360" w:after="240"/>
        <w:ind w:hanging="0"/>
        <w:jc w:val="both"/>
        <w:rPr/>
      </w:pPr>
      <w:bookmarkStart w:id="1007" w:name="_TocPI1007"/>
      <w:bookmarkEnd w:id="1007"/>
      <w:r>
        <w:rPr>
          <w:rFonts w:cs="Arial" w:ascii="Arial" w:hAnsi="Arial"/>
          <w:b/>
          <w:bCs/>
          <w:color w:val="auto"/>
          <w:sz w:val="24"/>
          <w:szCs w:val="24"/>
        </w:rPr>
        <w:t xml:space="preserve">2.2.1 Soldagem com Eletrodo Revestido (SMAW)</w:t>
      </w:r>
    </w:p>
    <w:p>
      <w:pPr>
        <w:pStyle w:val="TextBody"/>
        <w:spacing w:lineRule="auto" w:line="360" w:before="0" w:after="0"/>
        <w:ind w:firstLine="709"/>
        <w:jc w:val="both"/>
        <w:rPr/>
      </w:pPr>
      <w:r>
        <w:rPr>
          <w:rFonts w:cs="Arial" w:ascii="Arial" w:hAnsi="Arial"/>
          <w:color w:val="auto"/>
          <w:sz w:val="24"/>
          <w:szCs w:val="24"/>
        </w:rPr>
        <w:t xml:space="preserve">No processo eletrodo revestido, o arco é estabelecido entre a peça e um eletrodo consumível formado por uma alma metálica recoberta por um revestimento composto de minerais, ferro-ligas e compostos orgânicos. Durante a soldagem, o revestimento se decompõe e gera gases e escória, que protegem o metal fundido contra o oxigênio e o nitrogênio do ar, estabilizam o arco, desoxidam a poça e podem adicionar elementos de liga (FORTES; VAZ, 2005).</w:t>
      </w:r>
    </w:p>
    <w:p>
      <w:pPr>
        <w:pStyle w:val="TextBody"/>
        <w:spacing w:lineRule="auto" w:line="360" w:before="0" w:after="0"/>
        <w:ind w:firstLine="709"/>
        <w:jc w:val="both"/>
        <w:rPr/>
      </w:pPr>
      <w:r>
        <w:rPr>
          <w:rFonts w:cs="Arial" w:ascii="Arial" w:hAnsi="Arial"/>
          <w:color w:val="auto"/>
          <w:sz w:val="24"/>
          <w:szCs w:val="24"/>
        </w:rPr>
        <w:t xml:space="preserve">Para aços carbono, um dos eletrodos mais empregados é o E7018, classificado pela especificação AWS A5.1: o prefixo E indica eletrodo, o número 70 indica limite de resistência mínimo de 70 ksi (aproximadamente 490 MPa) do metal depositado, o algarismo 1 indica que pode ser usado em todas as posições e o algarismo 8 indica revestimento básico com pó de ferro, de baixo hidrogênio, para corrente contínua com eletrodo positivo ou corrente alternada (AWS, 2012). Por ser higroscópico, esse revestimento deve ser ressecado em estufa antes do uso, conforme as recomendações do fabricante.</w:t>
      </w:r>
    </w:p>
    <w:p>
      <w:pPr>
        <w:pStyle w:val="TextBody"/>
        <w:spacing w:lineRule="auto" w:line="360" w:before="0" w:after="0"/>
        <w:ind w:firstLine="709"/>
        <w:jc w:val="both"/>
        <w:rPr/>
      </w:pPr>
      <w:r>
        <w:rPr>
          <w:rFonts w:cs="Arial" w:ascii="Arial" w:hAnsi="Arial"/>
          <w:color w:val="auto"/>
          <w:sz w:val="24"/>
          <w:szCs w:val="24"/>
        </w:rPr>
        <w:t xml:space="preserve">O processo destaca-se pelo equipamento simples, de baixo custo e portátil, e pela boa tolerância a correntes de ar, o que o torna muito utilizado em serviços de campo e de manutenção. Como limitações, apresenta baixa produtividade, em razão das interrupções para troca de eletrodos e remoção da escória, forte dependência da habilidade do soldador e maior tendência à inclusão de escória em soldas de múltiplos passes (MARQUES; MODENESI; BRACARENSE, 2011).</w:t>
      </w:r>
    </w:p>
    <w:p>
      <w:pPr>
        <w:pStyle w:val="Heading4"/>
        <w:keepNext/>
        <w:spacing w:lineRule="auto" w:line="360" w:before="360" w:after="240"/>
        <w:ind w:hanging="0"/>
        <w:jc w:val="both"/>
        <w:rPr/>
      </w:pPr>
      <w:bookmarkStart w:id="1008" w:name="_TocPI1008"/>
      <w:bookmarkEnd w:id="1008"/>
      <w:r>
        <w:rPr>
          <w:rFonts w:cs="Arial" w:ascii="Arial" w:hAnsi="Arial"/>
          <w:b/>
          <w:bCs/>
          <w:color w:val="auto"/>
          <w:sz w:val="24"/>
          <w:szCs w:val="24"/>
        </w:rPr>
        <w:t xml:space="preserve">2.2.2 Soldagem MIG/MAG (GMAW)</w:t>
      </w:r>
    </w:p>
    <w:p>
      <w:pPr>
        <w:pStyle w:val="TextBody"/>
        <w:spacing w:lineRule="auto" w:line="360" w:before="0" w:after="0"/>
        <w:ind w:firstLine="709"/>
        <w:jc w:val="both"/>
        <w:rPr/>
      </w:pPr>
      <w:r>
        <w:rPr>
          <w:rFonts w:cs="Arial" w:ascii="Arial" w:hAnsi="Arial"/>
          <w:color w:val="auto"/>
          <w:sz w:val="24"/>
          <w:szCs w:val="24"/>
        </w:rPr>
        <w:t xml:space="preserve">No processo MIG/MAG, o arco é estabelecido entre a peça e um arame eletrodo consumível, alimentado continuamente por um cabeçote tracionador, enquanto a poça de fusão é protegida por um gás fornecido pela tocha. Quando o gás é inerte, como o argônio ou o hélio, o processo é denominado MIG (</w:t>
      </w:r>
      <w:r>
        <w:rPr>
          <w:rFonts w:cs="Arial" w:ascii="Arial" w:hAnsi="Arial"/>
          <w:i/>
          <w:iCs/>
          <w:color w:val="auto"/>
          <w:sz w:val="24"/>
          <w:szCs w:val="24"/>
        </w:rPr>
        <w:t xml:space="preserve">Metal Inert Gas</w:t>
      </w:r>
      <w:r>
        <w:rPr>
          <w:rFonts w:cs="Arial" w:ascii="Arial" w:hAnsi="Arial"/>
          <w:color w:val="auto"/>
          <w:sz w:val="24"/>
          <w:szCs w:val="24"/>
        </w:rPr>
        <w:t xml:space="preserve">); quando o gás é ativo, como o dióxido de carbono (CO₂) ou misturas de argônio com CO₂ ou oxigênio, é denominado MAG (</w:t>
      </w:r>
      <w:r>
        <w:rPr>
          <w:rFonts w:cs="Arial" w:ascii="Arial" w:hAnsi="Arial"/>
          <w:i/>
          <w:iCs/>
          <w:color w:val="auto"/>
          <w:sz w:val="24"/>
          <w:szCs w:val="24"/>
        </w:rPr>
        <w:t xml:space="preserve">Metal Active Gas</w:t>
      </w:r>
      <w:r>
        <w:rPr>
          <w:rFonts w:cs="Arial" w:ascii="Arial" w:hAnsi="Arial"/>
          <w:color w:val="auto"/>
          <w:sz w:val="24"/>
          <w:szCs w:val="24"/>
        </w:rPr>
        <w:t xml:space="preserve">). Na soldagem de aços carbono utiliza-se predominantemente a variante MAG (FORTES, 2005).</w:t>
      </w:r>
    </w:p>
    <w:p>
      <w:pPr>
        <w:pStyle w:val="TextBody"/>
        <w:spacing w:lineRule="auto" w:line="360" w:before="0" w:after="0"/>
        <w:ind w:firstLine="709"/>
        <w:jc w:val="both"/>
        <w:rPr/>
      </w:pPr>
      <w:r>
        <w:rPr>
          <w:rFonts w:cs="Arial" w:ascii="Arial" w:hAnsi="Arial"/>
          <w:color w:val="auto"/>
          <w:sz w:val="24"/>
          <w:szCs w:val="24"/>
        </w:rPr>
        <w:t xml:space="preserve">A transferência do metal do arame para a poça pode ocorrer por curto-circuito, de forma globular, por aerossol (</w:t>
      </w:r>
      <w:r>
        <w:rPr>
          <w:rFonts w:cs="Arial" w:ascii="Arial" w:hAnsi="Arial"/>
          <w:i/>
          <w:iCs/>
          <w:color w:val="auto"/>
          <w:sz w:val="24"/>
          <w:szCs w:val="24"/>
        </w:rPr>
        <w:t xml:space="preserve">spray</w:t>
      </w:r>
      <w:r>
        <w:rPr>
          <w:rFonts w:cs="Arial" w:ascii="Arial" w:hAnsi="Arial"/>
          <w:color w:val="auto"/>
          <w:sz w:val="24"/>
          <w:szCs w:val="24"/>
        </w:rPr>
        <w:t xml:space="preserve">) ou de forma pulsada, dependendo da corrente, da tensão e do gás de proteção. A transferência por curto-circuito, de baixa energia, é adequada para chapas finas e para soldagem fora de posição, mas aumenta o risco de falta de fusão em chapas mais espessas. O arame mais comum para aços carbono é o ER70S-6, especificado pela norma AWS A5.18, que contém teores elevados de manganês e silício para desoxidar a poça (AWS, 2021).</w:t>
      </w:r>
    </w:p>
    <w:p>
      <w:pPr>
        <w:pStyle w:val="TextBody"/>
        <w:spacing w:lineRule="auto" w:line="360" w:before="0" w:after="0"/>
        <w:ind w:firstLine="709"/>
        <w:jc w:val="both"/>
        <w:rPr/>
      </w:pPr>
      <w:r>
        <w:rPr>
          <w:rFonts w:cs="Arial" w:ascii="Arial" w:hAnsi="Arial"/>
          <w:color w:val="auto"/>
          <w:sz w:val="24"/>
          <w:szCs w:val="24"/>
        </w:rPr>
        <w:t xml:space="preserve">Entre as vantagens do processo, destacam-se a alta taxa de deposição, a ausência de escória, a soldagem contínua e a facilidade de mecanização e robotização. Entre as limitações, estão o custo mais elevado do equipamento, a sensibilidade a correntes de ar, que dispersam o gás de proteção e causam porosidade, a geração de respingos e a necessidade de ajuste preciso dos parâmetros (MARQUES; MODENESI; BRACARENSE, 2011).</w:t>
      </w:r>
    </w:p>
    <w:p>
      <w:pPr>
        <w:pStyle w:val="Heading4"/>
        <w:keepNext/>
        <w:spacing w:lineRule="auto" w:line="360" w:before="360" w:after="240"/>
        <w:ind w:hanging="0"/>
        <w:jc w:val="both"/>
        <w:rPr/>
      </w:pPr>
      <w:bookmarkStart w:id="1009" w:name="_TocPI1009"/>
      <w:bookmarkEnd w:id="1009"/>
      <w:r>
        <w:rPr>
          <w:rFonts w:cs="Arial" w:ascii="Arial" w:hAnsi="Arial"/>
          <w:b/>
          <w:bCs/>
          <w:color w:val="auto"/>
          <w:sz w:val="24"/>
          <w:szCs w:val="24"/>
        </w:rPr>
        <w:t xml:space="preserve">2.2.3 Soldagem TIG (GTAW)</w:t>
      </w:r>
    </w:p>
    <w:p>
      <w:pPr>
        <w:pStyle w:val="TextBody"/>
        <w:spacing w:lineRule="auto" w:line="360" w:before="0" w:after="0"/>
        <w:ind w:firstLine="709"/>
        <w:jc w:val="both"/>
        <w:rPr/>
      </w:pPr>
      <w:r>
        <w:rPr>
          <w:rFonts w:cs="Arial" w:ascii="Arial" w:hAnsi="Arial"/>
          <w:color w:val="auto"/>
          <w:sz w:val="24"/>
          <w:szCs w:val="24"/>
        </w:rPr>
        <w:t xml:space="preserve">No processo TIG, o arco é estabelecido entre um eletrodo de tungstênio não consumível e a peça, sob a proteção de um gás inerte, normalmente o argônio. O metal de adição, quando necessário, é adicionado manualmente na forma de vareta, de modo independente da corrente de soldagem. Na soldagem de aços carbono, emprega-se corrente contínua com o eletrodo no polo negativo, o que concentra o calor na peça e preserva o eletrodo (WAINER; BRANDI; MELLO, 1992).</w:t>
      </w:r>
    </w:p>
    <w:p>
      <w:pPr>
        <w:pStyle w:val="TextBody"/>
        <w:spacing w:lineRule="auto" w:line="360" w:before="0" w:after="0"/>
        <w:ind w:firstLine="709"/>
        <w:jc w:val="both"/>
        <w:rPr/>
      </w:pPr>
      <w:r>
        <w:rPr>
          <w:rFonts w:cs="Arial" w:ascii="Arial" w:hAnsi="Arial"/>
          <w:color w:val="auto"/>
          <w:sz w:val="24"/>
          <w:szCs w:val="24"/>
        </w:rPr>
        <w:t xml:space="preserve">O processo TIG produz soldas de excelente qualidade e acabamento, sem escória e praticamente sem respingos, com ótimo controle da poça de fusão, razão pela qual é muito utilizado em passes de raiz de tubulações e em materiais de difícil soldagem. Em contrapartida, apresenta a menor taxa de deposição entre os processos estudados, exige elevada habilidade do soldador, limpeza rigorosa da junta e proteção contra correntes de ar, além de estar sujeito à inclusão de tungstênio quando o eletrodo toca a poça de fusão (MARQUES; MODENESI; BRACARENSE, 2011).</w:t>
      </w:r>
    </w:p>
    <w:p>
      <w:pPr>
        <w:pStyle w:val="Heading4"/>
        <w:keepNext/>
        <w:spacing w:lineRule="auto" w:line="360" w:before="360" w:after="240"/>
        <w:ind w:hanging="0"/>
        <w:jc w:val="both"/>
        <w:rPr/>
      </w:pPr>
      <w:bookmarkStart w:id="1010" w:name="_TocPI1010"/>
      <w:bookmarkEnd w:id="1010"/>
      <w:r>
        <w:rPr>
          <w:rFonts w:cs="Arial" w:ascii="Arial" w:hAnsi="Arial"/>
          <w:b/>
          <w:bCs/>
          <w:color w:val="auto"/>
          <w:sz w:val="24"/>
          <w:szCs w:val="24"/>
        </w:rPr>
        <w:t xml:space="preserve">2.2.4 Comparação entre os Processos</w:t>
      </w:r>
    </w:p>
    <w:p>
      <w:pPr>
        <w:pStyle w:val="TextBody"/>
        <w:spacing w:lineRule="auto" w:line="360" w:before="0" w:after="0"/>
        <w:ind w:firstLine="709"/>
        <w:jc w:val="both"/>
        <w:rPr/>
      </w:pPr>
      <w:r>
        <w:rPr>
          <w:rFonts w:cs="Arial" w:ascii="Arial" w:hAnsi="Arial"/>
          <w:color w:val="auto"/>
          <w:sz w:val="24"/>
          <w:szCs w:val="24"/>
        </w:rPr>
        <w:t xml:space="preserve">O Quadro 1 sintetiza as principais características dos três processos, com ênfase nos aspectos que influenciam a qualidade da junta e a ocorrência de descontinuidades.</w:t>
      </w:r>
    </w:p>
    <w:p>
      <w:pPr>
        <w:pStyle w:val="Normal"/>
        <w:keepNext w:val="true"/>
        <w:spacing w:lineRule="auto" w:line="240" w:before="240" w:after="60"/>
        <w:jc w:val="center"/>
        <w:rPr/>
      </w:pPr>
      <w:r>
        <w:rPr>
          <w:rFonts w:cs="Arial" w:ascii="Arial" w:hAnsi="Arial"/>
          <w:b/>
          <w:bCs/>
          <w:color w:val="auto"/>
          <w:sz w:val="20"/>
          <w:szCs w:val="20"/>
        </w:rPr>
        <w:t xml:space="preserve">Quadro 1 –</w:t>
      </w:r>
      <w:r>
        <w:rPr>
          <w:rFonts w:cs="Arial" w:ascii="Arial" w:hAnsi="Arial"/>
          <w:color w:val="auto"/>
          <w:sz w:val="20"/>
          <w:szCs w:val="20"/>
        </w:rPr>
        <w:t xml:space="preserve"> Comparação entre os processos eletrodo revestido, MIG/MAG e TIG</w:t>
      </w:r>
    </w:p>
    <w:tbl>
      <w:tblPr>
        <w:tblW w:w="85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Pr>
      <w:tblGrid>
        <w:gridCol w:w="1900"/>
        <w:gridCol w:w="2200"/>
        <w:gridCol w:w="2200"/>
        <w:gridCol w:w="2200"/>
      </w:tblGrid>
      <w:tr>
        <w:trPr>
          <w:tblHeader/>
          <w:cantSplit/>
        </w:trPr>
        <w:tc>
          <w:tcPr>
            <w:tcW w:w="1900" w:type="dxa"/>
            <w:shd w:val="clear" w:color="auto" w:fill="D9D9D9"/>
            <w:vAlign w:val="center"/>
          </w:tcPr>
          <w:p>
            <w:pPr>
              <w:pStyle w:val="Normal"/>
              <w:keepNext/>
              <w:spacing w:lineRule="auto" w:line="240" w:before="40" w:after="40"/>
              <w:jc w:val="center"/>
              <w:rPr/>
            </w:pPr>
            <w:r>
              <w:rPr>
                <w:rFonts w:cs="Arial" w:ascii="Arial" w:hAnsi="Arial"/>
                <w:b/>
                <w:bCs/>
                <w:color w:val="auto"/>
                <w:sz w:val="20"/>
                <w:szCs w:val="20"/>
              </w:rPr>
              <w:t xml:space="preserve">Característica</w:t>
            </w:r>
          </w:p>
        </w:tc>
        <w:tc>
          <w:tcPr>
            <w:tcW w:w="2200" w:type="dxa"/>
            <w:shd w:val="clear" w:color="auto" w:fill="D9D9D9"/>
            <w:vAlign w:val="center"/>
          </w:tcPr>
          <w:p>
            <w:pPr>
              <w:pStyle w:val="Normal"/>
              <w:keepNext/>
              <w:spacing w:lineRule="auto" w:line="240" w:before="40" w:after="40"/>
              <w:jc w:val="center"/>
              <w:rPr/>
            </w:pPr>
            <w:r>
              <w:rPr>
                <w:rFonts w:cs="Arial" w:ascii="Arial" w:hAnsi="Arial"/>
                <w:b/>
                <w:bCs/>
                <w:color w:val="auto"/>
                <w:sz w:val="20"/>
                <w:szCs w:val="20"/>
              </w:rPr>
              <w:t xml:space="preserve">Eletrodo revestido (SMAW)</w:t>
            </w:r>
          </w:p>
        </w:tc>
        <w:tc>
          <w:tcPr>
            <w:tcW w:w="2200" w:type="dxa"/>
            <w:shd w:val="clear" w:color="auto" w:fill="D9D9D9"/>
            <w:vAlign w:val="center"/>
          </w:tcPr>
          <w:p>
            <w:pPr>
              <w:pStyle w:val="Normal"/>
              <w:keepNext/>
              <w:spacing w:lineRule="auto" w:line="240" w:before="40" w:after="40"/>
              <w:jc w:val="center"/>
              <w:rPr/>
            </w:pPr>
            <w:r>
              <w:rPr>
                <w:rFonts w:cs="Arial" w:ascii="Arial" w:hAnsi="Arial"/>
                <w:b/>
                <w:bCs/>
                <w:color w:val="auto"/>
                <w:sz w:val="20"/>
                <w:szCs w:val="20"/>
              </w:rPr>
              <w:t xml:space="preserve">MIG/MAG (GMAW)</w:t>
            </w:r>
          </w:p>
        </w:tc>
        <w:tc>
          <w:tcPr>
            <w:tcW w:w="2200" w:type="dxa"/>
            <w:shd w:val="clear" w:color="auto" w:fill="D9D9D9"/>
            <w:vAlign w:val="center"/>
          </w:tcPr>
          <w:p>
            <w:pPr>
              <w:pStyle w:val="Normal"/>
              <w:keepNext/>
              <w:spacing w:lineRule="auto" w:line="240" w:before="40" w:after="40"/>
              <w:jc w:val="center"/>
              <w:rPr/>
            </w:pPr>
            <w:r>
              <w:rPr>
                <w:rFonts w:cs="Arial" w:ascii="Arial" w:hAnsi="Arial"/>
                <w:b/>
                <w:bCs/>
                <w:color w:val="auto"/>
                <w:sz w:val="20"/>
                <w:szCs w:val="20"/>
              </w:rPr>
              <w:t xml:space="preserve">TIG (GTAW)</w:t>
            </w:r>
          </w:p>
        </w:tc>
      </w:tr>
      <w:tr>
        <w:trPr>
          <w:cantSplit/>
        </w:trPr>
        <w:tc>
          <w:tcPr>
            <w:tcW w:w="1900" w:type="dxa"/>
            <w:vAlign w:val="center"/>
          </w:tcPr>
          <w:p>
            <w:pPr>
              <w:pStyle w:val="Normal"/>
              <w:keepNext/>
              <w:spacing w:lineRule="auto" w:line="240" w:before="40" w:after="40"/>
              <w:jc w:val="left"/>
              <w:rPr/>
            </w:pPr>
            <w:r>
              <w:rPr>
                <w:rFonts w:cs="Arial" w:ascii="Arial" w:hAnsi="Arial"/>
                <w:b/>
                <w:bCs/>
                <w:color w:val="auto"/>
                <w:sz w:val="20"/>
                <w:szCs w:val="20"/>
              </w:rPr>
              <w:t xml:space="preserve">Eletrodo</w:t>
            </w:r>
          </w:p>
        </w:tc>
        <w:tc>
          <w:tcPr>
            <w:tcW w:w="2200" w:type="dxa"/>
            <w:vAlign w:val="center"/>
          </w:tcPr>
          <w:p>
            <w:pPr>
              <w:pStyle w:val="Normal"/>
              <w:keepNext/>
              <w:spacing w:lineRule="auto" w:line="240" w:before="40" w:after="40"/>
              <w:jc w:val="left"/>
              <w:rPr/>
            </w:pPr>
            <w:r>
              <w:rPr>
                <w:rFonts w:cs="Arial" w:ascii="Arial" w:hAnsi="Arial"/>
                <w:color w:val="auto"/>
                <w:sz w:val="20"/>
                <w:szCs w:val="20"/>
              </w:rPr>
              <w:t xml:space="preserve">Consumível, revestido</w:t>
            </w:r>
          </w:p>
        </w:tc>
        <w:tc>
          <w:tcPr>
            <w:tcW w:w="2200" w:type="dxa"/>
            <w:vAlign w:val="center"/>
          </w:tcPr>
          <w:p>
            <w:pPr>
              <w:pStyle w:val="Normal"/>
              <w:keepNext/>
              <w:spacing w:lineRule="auto" w:line="240" w:before="40" w:after="40"/>
              <w:jc w:val="left"/>
              <w:rPr/>
            </w:pPr>
            <w:r>
              <w:rPr>
                <w:rFonts w:cs="Arial" w:ascii="Arial" w:hAnsi="Arial"/>
                <w:color w:val="auto"/>
                <w:sz w:val="20"/>
                <w:szCs w:val="20"/>
              </w:rPr>
              <w:t xml:space="preserve">Consumível, arame contínuo</w:t>
            </w:r>
          </w:p>
        </w:tc>
        <w:tc>
          <w:tcPr>
            <w:tcW w:w="2200" w:type="dxa"/>
            <w:vAlign w:val="center"/>
          </w:tcPr>
          <w:p>
            <w:pPr>
              <w:pStyle w:val="Normal"/>
              <w:keepNext/>
              <w:spacing w:lineRule="auto" w:line="240" w:before="40" w:after="40"/>
              <w:jc w:val="left"/>
              <w:rPr/>
            </w:pPr>
            <w:r>
              <w:rPr>
                <w:rFonts w:cs="Arial" w:ascii="Arial" w:hAnsi="Arial"/>
                <w:color w:val="auto"/>
                <w:sz w:val="20"/>
                <w:szCs w:val="20"/>
              </w:rPr>
              <w:t xml:space="preserve">Tungstênio, não consumível</w:t>
            </w:r>
          </w:p>
        </w:tc>
      </w:tr>
      <w:tr>
        <w:trPr>
          <w:cantSplit/>
        </w:trPr>
        <w:tc>
          <w:tcPr>
            <w:tcW w:w="1900" w:type="dxa"/>
            <w:vAlign w:val="center"/>
          </w:tcPr>
          <w:p>
            <w:pPr>
              <w:pStyle w:val="Normal"/>
              <w:keepNext/>
              <w:spacing w:lineRule="auto" w:line="240" w:before="40" w:after="40"/>
              <w:jc w:val="left"/>
              <w:rPr/>
            </w:pPr>
            <w:r>
              <w:rPr>
                <w:rFonts w:cs="Arial" w:ascii="Arial" w:hAnsi="Arial"/>
                <w:b/>
                <w:bCs/>
                <w:color w:val="auto"/>
                <w:sz w:val="20"/>
                <w:szCs w:val="20"/>
              </w:rPr>
              <w:t xml:space="preserve">Proteção da poça</w:t>
            </w:r>
          </w:p>
        </w:tc>
        <w:tc>
          <w:tcPr>
            <w:tcW w:w="2200" w:type="dxa"/>
            <w:vAlign w:val="center"/>
          </w:tcPr>
          <w:p>
            <w:pPr>
              <w:pStyle w:val="Normal"/>
              <w:keepNext/>
              <w:spacing w:lineRule="auto" w:line="240" w:before="40" w:after="40"/>
              <w:jc w:val="left"/>
              <w:rPr/>
            </w:pPr>
            <w:r>
              <w:rPr>
                <w:rFonts w:cs="Arial" w:ascii="Arial" w:hAnsi="Arial"/>
                <w:color w:val="auto"/>
                <w:sz w:val="20"/>
                <w:szCs w:val="20"/>
              </w:rPr>
              <w:t xml:space="preserve">Gases e escória do revestimento</w:t>
            </w:r>
          </w:p>
        </w:tc>
        <w:tc>
          <w:tcPr>
            <w:tcW w:w="2200" w:type="dxa"/>
            <w:vAlign w:val="center"/>
          </w:tcPr>
          <w:p>
            <w:pPr>
              <w:pStyle w:val="Normal"/>
              <w:keepNext/>
              <w:spacing w:lineRule="auto" w:line="240" w:before="40" w:after="40"/>
              <w:jc w:val="left"/>
              <w:rPr/>
            </w:pPr>
            <w:r>
              <w:rPr>
                <w:rFonts w:cs="Arial" w:ascii="Arial" w:hAnsi="Arial"/>
                <w:color w:val="auto"/>
                <w:sz w:val="20"/>
                <w:szCs w:val="20"/>
              </w:rPr>
              <w:t xml:space="preserve">Gás externo (Ar, CO₂ ou mistura)</w:t>
            </w:r>
          </w:p>
        </w:tc>
        <w:tc>
          <w:tcPr>
            <w:tcW w:w="2200" w:type="dxa"/>
            <w:vAlign w:val="center"/>
          </w:tcPr>
          <w:p>
            <w:pPr>
              <w:pStyle w:val="Normal"/>
              <w:keepNext/>
              <w:spacing w:lineRule="auto" w:line="240" w:before="40" w:after="40"/>
              <w:jc w:val="left"/>
              <w:rPr/>
            </w:pPr>
            <w:r>
              <w:rPr>
                <w:rFonts w:cs="Arial" w:ascii="Arial" w:hAnsi="Arial"/>
                <w:color w:val="auto"/>
                <w:sz w:val="20"/>
                <w:szCs w:val="20"/>
              </w:rPr>
              <w:t xml:space="preserve">Gás inerte (argônio)</w:t>
            </w:r>
          </w:p>
        </w:tc>
      </w:tr>
      <w:tr>
        <w:trPr>
          <w:cantSplit/>
        </w:trPr>
        <w:tc>
          <w:tcPr>
            <w:tcW w:w="1900" w:type="dxa"/>
            <w:vAlign w:val="center"/>
          </w:tcPr>
          <w:p>
            <w:pPr>
              <w:pStyle w:val="Normal"/>
              <w:keepNext/>
              <w:spacing w:lineRule="auto" w:line="240" w:before="40" w:after="40"/>
              <w:jc w:val="left"/>
              <w:rPr/>
            </w:pPr>
            <w:r>
              <w:rPr>
                <w:rFonts w:cs="Arial" w:ascii="Arial" w:hAnsi="Arial"/>
                <w:b/>
                <w:bCs/>
                <w:color w:val="auto"/>
                <w:sz w:val="20"/>
                <w:szCs w:val="20"/>
              </w:rPr>
              <w:t xml:space="preserve">Produtividade</w:t>
            </w:r>
          </w:p>
        </w:tc>
        <w:tc>
          <w:tcPr>
            <w:tcW w:w="2200" w:type="dxa"/>
            <w:vAlign w:val="center"/>
          </w:tcPr>
          <w:p>
            <w:pPr>
              <w:pStyle w:val="Normal"/>
              <w:keepNext/>
              <w:spacing w:lineRule="auto" w:line="240" w:before="40" w:after="40"/>
              <w:jc w:val="left"/>
              <w:rPr/>
            </w:pPr>
            <w:r>
              <w:rPr>
                <w:rFonts w:cs="Arial" w:ascii="Arial" w:hAnsi="Arial"/>
                <w:color w:val="auto"/>
                <w:sz w:val="20"/>
                <w:szCs w:val="20"/>
              </w:rPr>
              <w:t xml:space="preserve">Baixa</w:t>
            </w:r>
          </w:p>
        </w:tc>
        <w:tc>
          <w:tcPr>
            <w:tcW w:w="2200" w:type="dxa"/>
            <w:vAlign w:val="center"/>
          </w:tcPr>
          <w:p>
            <w:pPr>
              <w:pStyle w:val="Normal"/>
              <w:keepNext/>
              <w:spacing w:lineRule="auto" w:line="240" w:before="40" w:after="40"/>
              <w:jc w:val="left"/>
              <w:rPr/>
            </w:pPr>
            <w:r>
              <w:rPr>
                <w:rFonts w:cs="Arial" w:ascii="Arial" w:hAnsi="Arial"/>
                <w:color w:val="auto"/>
                <w:sz w:val="20"/>
                <w:szCs w:val="20"/>
              </w:rPr>
              <w:t xml:space="preserve">Alta</w:t>
            </w:r>
          </w:p>
        </w:tc>
        <w:tc>
          <w:tcPr>
            <w:tcW w:w="2200" w:type="dxa"/>
            <w:vAlign w:val="center"/>
          </w:tcPr>
          <w:p>
            <w:pPr>
              <w:pStyle w:val="Normal"/>
              <w:keepNext/>
              <w:spacing w:lineRule="auto" w:line="240" w:before="40" w:after="40"/>
              <w:jc w:val="left"/>
              <w:rPr/>
            </w:pPr>
            <w:r>
              <w:rPr>
                <w:rFonts w:cs="Arial" w:ascii="Arial" w:hAnsi="Arial"/>
                <w:color w:val="auto"/>
                <w:sz w:val="20"/>
                <w:szCs w:val="20"/>
              </w:rPr>
              <w:t xml:space="preserve">Muito baixa</w:t>
            </w:r>
          </w:p>
        </w:tc>
      </w:tr>
      <w:tr>
        <w:trPr>
          <w:cantSplit/>
        </w:trPr>
        <w:tc>
          <w:tcPr>
            <w:tcW w:w="1900" w:type="dxa"/>
            <w:vAlign w:val="center"/>
          </w:tcPr>
          <w:p>
            <w:pPr>
              <w:pStyle w:val="Normal"/>
              <w:keepNext/>
              <w:spacing w:lineRule="auto" w:line="240" w:before="40" w:after="40"/>
              <w:jc w:val="left"/>
              <w:rPr/>
            </w:pPr>
            <w:r>
              <w:rPr>
                <w:rFonts w:cs="Arial" w:ascii="Arial" w:hAnsi="Arial"/>
                <w:b/>
                <w:bCs/>
                <w:color w:val="auto"/>
                <w:sz w:val="20"/>
                <w:szCs w:val="20"/>
              </w:rPr>
              <w:t xml:space="preserve">Escória</w:t>
            </w:r>
          </w:p>
        </w:tc>
        <w:tc>
          <w:tcPr>
            <w:tcW w:w="2200" w:type="dxa"/>
            <w:vAlign w:val="center"/>
          </w:tcPr>
          <w:p>
            <w:pPr>
              <w:pStyle w:val="Normal"/>
              <w:keepNext/>
              <w:spacing w:lineRule="auto" w:line="240" w:before="40" w:after="40"/>
              <w:jc w:val="left"/>
              <w:rPr/>
            </w:pPr>
            <w:r>
              <w:rPr>
                <w:rFonts w:cs="Arial" w:ascii="Arial" w:hAnsi="Arial"/>
                <w:color w:val="auto"/>
                <w:sz w:val="20"/>
                <w:szCs w:val="20"/>
              </w:rPr>
              <w:t xml:space="preserve">Sim</w:t>
            </w:r>
          </w:p>
        </w:tc>
        <w:tc>
          <w:tcPr>
            <w:tcW w:w="2200" w:type="dxa"/>
            <w:vAlign w:val="center"/>
          </w:tcPr>
          <w:p>
            <w:pPr>
              <w:pStyle w:val="Normal"/>
              <w:keepNext/>
              <w:spacing w:lineRule="auto" w:line="240" w:before="40" w:after="40"/>
              <w:jc w:val="left"/>
              <w:rPr/>
            </w:pPr>
            <w:r>
              <w:rPr>
                <w:rFonts w:cs="Arial" w:ascii="Arial" w:hAnsi="Arial"/>
                <w:color w:val="auto"/>
                <w:sz w:val="20"/>
                <w:szCs w:val="20"/>
              </w:rPr>
              <w:t xml:space="preserve">Não</w:t>
            </w:r>
          </w:p>
        </w:tc>
        <w:tc>
          <w:tcPr>
            <w:tcW w:w="2200" w:type="dxa"/>
            <w:vAlign w:val="center"/>
          </w:tcPr>
          <w:p>
            <w:pPr>
              <w:pStyle w:val="Normal"/>
              <w:keepNext/>
              <w:spacing w:lineRule="auto" w:line="240" w:before="40" w:after="40"/>
              <w:jc w:val="left"/>
              <w:rPr/>
            </w:pPr>
            <w:r>
              <w:rPr>
                <w:rFonts w:cs="Arial" w:ascii="Arial" w:hAnsi="Arial"/>
                <w:color w:val="auto"/>
                <w:sz w:val="20"/>
                <w:szCs w:val="20"/>
              </w:rPr>
              <w:t xml:space="preserve">Não</w:t>
            </w:r>
          </w:p>
        </w:tc>
      </w:tr>
      <w:tr>
        <w:trPr>
          <w:cantSplit/>
        </w:trPr>
        <w:tc>
          <w:tcPr>
            <w:tcW w:w="1900" w:type="dxa"/>
            <w:vAlign w:val="center"/>
          </w:tcPr>
          <w:p>
            <w:pPr>
              <w:pStyle w:val="Normal"/>
              <w:keepNext/>
              <w:spacing w:lineRule="auto" w:line="240" w:before="40" w:after="40"/>
              <w:jc w:val="left"/>
              <w:rPr/>
            </w:pPr>
            <w:r>
              <w:rPr>
                <w:rFonts w:cs="Arial" w:ascii="Arial" w:hAnsi="Arial"/>
                <w:b/>
                <w:bCs/>
                <w:color w:val="auto"/>
                <w:sz w:val="20"/>
                <w:szCs w:val="20"/>
              </w:rPr>
              <w:t xml:space="preserve">Respingos</w:t>
            </w:r>
          </w:p>
        </w:tc>
        <w:tc>
          <w:tcPr>
            <w:tcW w:w="2200" w:type="dxa"/>
            <w:vAlign w:val="center"/>
          </w:tcPr>
          <w:p>
            <w:pPr>
              <w:pStyle w:val="Normal"/>
              <w:keepNext/>
              <w:spacing w:lineRule="auto" w:line="240" w:before="40" w:after="40"/>
              <w:jc w:val="left"/>
              <w:rPr/>
            </w:pPr>
            <w:r>
              <w:rPr>
                <w:rFonts w:cs="Arial" w:ascii="Arial" w:hAnsi="Arial"/>
                <w:color w:val="auto"/>
                <w:sz w:val="20"/>
                <w:szCs w:val="20"/>
              </w:rPr>
              <w:t xml:space="preserve">Moderados</w:t>
            </w:r>
          </w:p>
        </w:tc>
        <w:tc>
          <w:tcPr>
            <w:tcW w:w="2200" w:type="dxa"/>
            <w:vAlign w:val="center"/>
          </w:tcPr>
          <w:p>
            <w:pPr>
              <w:pStyle w:val="Normal"/>
              <w:keepNext/>
              <w:spacing w:lineRule="auto" w:line="240" w:before="40" w:after="40"/>
              <w:jc w:val="left"/>
              <w:rPr/>
            </w:pPr>
            <w:r>
              <w:rPr>
                <w:rFonts w:cs="Arial" w:ascii="Arial" w:hAnsi="Arial"/>
                <w:color w:val="auto"/>
                <w:sz w:val="20"/>
                <w:szCs w:val="20"/>
              </w:rPr>
              <w:t xml:space="preserve">Moderados a elevados</w:t>
            </w:r>
          </w:p>
        </w:tc>
        <w:tc>
          <w:tcPr>
            <w:tcW w:w="2200" w:type="dxa"/>
            <w:vAlign w:val="center"/>
          </w:tcPr>
          <w:p>
            <w:pPr>
              <w:pStyle w:val="Normal"/>
              <w:keepNext/>
              <w:spacing w:lineRule="auto" w:line="240" w:before="40" w:after="40"/>
              <w:jc w:val="left"/>
              <w:rPr/>
            </w:pPr>
            <w:r>
              <w:rPr>
                <w:rFonts w:cs="Arial" w:ascii="Arial" w:hAnsi="Arial"/>
                <w:color w:val="auto"/>
                <w:sz w:val="20"/>
                <w:szCs w:val="20"/>
              </w:rPr>
              <w:t xml:space="preserve">Praticamente ausentes</w:t>
            </w:r>
          </w:p>
        </w:tc>
      </w:tr>
      <w:tr>
        <w:trPr>
          <w:cantSplit/>
        </w:trPr>
        <w:tc>
          <w:tcPr>
            <w:tcW w:w="1900" w:type="dxa"/>
            <w:vAlign w:val="center"/>
          </w:tcPr>
          <w:p>
            <w:pPr>
              <w:pStyle w:val="Normal"/>
              <w:keepNext/>
              <w:spacing w:lineRule="auto" w:line="240" w:before="40" w:after="40"/>
              <w:jc w:val="left"/>
              <w:rPr/>
            </w:pPr>
            <w:r>
              <w:rPr>
                <w:rFonts w:cs="Arial" w:ascii="Arial" w:hAnsi="Arial"/>
                <w:b/>
                <w:bCs/>
                <w:color w:val="auto"/>
                <w:sz w:val="20"/>
                <w:szCs w:val="20"/>
              </w:rPr>
              <w:t xml:space="preserve">Custo do equipamento</w:t>
            </w:r>
          </w:p>
        </w:tc>
        <w:tc>
          <w:tcPr>
            <w:tcW w:w="2200" w:type="dxa"/>
            <w:vAlign w:val="center"/>
          </w:tcPr>
          <w:p>
            <w:pPr>
              <w:pStyle w:val="Normal"/>
              <w:keepNext/>
              <w:spacing w:lineRule="auto" w:line="240" w:before="40" w:after="40"/>
              <w:jc w:val="left"/>
              <w:rPr/>
            </w:pPr>
            <w:r>
              <w:rPr>
                <w:rFonts w:cs="Arial" w:ascii="Arial" w:hAnsi="Arial"/>
                <w:color w:val="auto"/>
                <w:sz w:val="20"/>
                <w:szCs w:val="20"/>
              </w:rPr>
              <w:t xml:space="preserve">Baixo</w:t>
            </w:r>
          </w:p>
        </w:tc>
        <w:tc>
          <w:tcPr>
            <w:tcW w:w="2200" w:type="dxa"/>
            <w:vAlign w:val="center"/>
          </w:tcPr>
          <w:p>
            <w:pPr>
              <w:pStyle w:val="Normal"/>
              <w:keepNext/>
              <w:spacing w:lineRule="auto" w:line="240" w:before="40" w:after="40"/>
              <w:jc w:val="left"/>
              <w:rPr/>
            </w:pPr>
            <w:r>
              <w:rPr>
                <w:rFonts w:cs="Arial" w:ascii="Arial" w:hAnsi="Arial"/>
                <w:color w:val="auto"/>
                <w:sz w:val="20"/>
                <w:szCs w:val="20"/>
              </w:rPr>
              <w:t xml:space="preserve">Médio a alto</w:t>
            </w:r>
          </w:p>
        </w:tc>
        <w:tc>
          <w:tcPr>
            <w:tcW w:w="2200" w:type="dxa"/>
            <w:vAlign w:val="center"/>
          </w:tcPr>
          <w:p>
            <w:pPr>
              <w:pStyle w:val="Normal"/>
              <w:keepNext/>
              <w:spacing w:lineRule="auto" w:line="240" w:before="40" w:after="40"/>
              <w:jc w:val="left"/>
              <w:rPr/>
            </w:pPr>
            <w:r>
              <w:rPr>
                <w:rFonts w:cs="Arial" w:ascii="Arial" w:hAnsi="Arial"/>
                <w:color w:val="auto"/>
                <w:sz w:val="20"/>
                <w:szCs w:val="20"/>
              </w:rPr>
              <w:t xml:space="preserve">Médio</w:t>
            </w:r>
          </w:p>
        </w:tc>
      </w:tr>
      <w:tr>
        <w:trPr>
          <w:cantSplit/>
        </w:trPr>
        <w:tc>
          <w:tcPr>
            <w:tcW w:w="1900" w:type="dxa"/>
            <w:vAlign w:val="center"/>
          </w:tcPr>
          <w:p>
            <w:pPr>
              <w:pStyle w:val="Normal"/>
              <w:keepNext/>
              <w:spacing w:lineRule="auto" w:line="240" w:before="40" w:after="40"/>
              <w:jc w:val="left"/>
              <w:rPr/>
            </w:pPr>
            <w:r>
              <w:rPr>
                <w:rFonts w:cs="Arial" w:ascii="Arial" w:hAnsi="Arial"/>
                <w:b/>
                <w:bCs/>
                <w:color w:val="auto"/>
                <w:sz w:val="20"/>
                <w:szCs w:val="20"/>
              </w:rPr>
              <w:t xml:space="preserve">Habilidade exigida</w:t>
            </w:r>
          </w:p>
        </w:tc>
        <w:tc>
          <w:tcPr>
            <w:tcW w:w="2200" w:type="dxa"/>
            <w:vAlign w:val="center"/>
          </w:tcPr>
          <w:p>
            <w:pPr>
              <w:pStyle w:val="Normal"/>
              <w:keepNext/>
              <w:spacing w:lineRule="auto" w:line="240" w:before="40" w:after="40"/>
              <w:jc w:val="left"/>
              <w:rPr/>
            </w:pPr>
            <w:r>
              <w:rPr>
                <w:rFonts w:cs="Arial" w:ascii="Arial" w:hAnsi="Arial"/>
                <w:color w:val="auto"/>
                <w:sz w:val="20"/>
                <w:szCs w:val="20"/>
              </w:rPr>
              <w:t xml:space="preserve">Média a alta</w:t>
            </w:r>
          </w:p>
        </w:tc>
        <w:tc>
          <w:tcPr>
            <w:tcW w:w="2200" w:type="dxa"/>
            <w:vAlign w:val="center"/>
          </w:tcPr>
          <w:p>
            <w:pPr>
              <w:pStyle w:val="Normal"/>
              <w:keepNext/>
              <w:spacing w:lineRule="auto" w:line="240" w:before="40" w:after="40"/>
              <w:jc w:val="left"/>
              <w:rPr/>
            </w:pPr>
            <w:r>
              <w:rPr>
                <w:rFonts w:cs="Arial" w:ascii="Arial" w:hAnsi="Arial"/>
                <w:color w:val="auto"/>
                <w:sz w:val="20"/>
                <w:szCs w:val="20"/>
              </w:rPr>
              <w:t xml:space="preserve">Média</w:t>
            </w:r>
          </w:p>
        </w:tc>
        <w:tc>
          <w:tcPr>
            <w:tcW w:w="2200" w:type="dxa"/>
            <w:vAlign w:val="center"/>
          </w:tcPr>
          <w:p>
            <w:pPr>
              <w:pStyle w:val="Normal"/>
              <w:keepNext/>
              <w:spacing w:lineRule="auto" w:line="240" w:before="40" w:after="40"/>
              <w:jc w:val="left"/>
              <w:rPr/>
            </w:pPr>
            <w:r>
              <w:rPr>
                <w:rFonts w:cs="Arial" w:ascii="Arial" w:hAnsi="Arial"/>
                <w:color w:val="auto"/>
                <w:sz w:val="20"/>
                <w:szCs w:val="20"/>
              </w:rPr>
              <w:t xml:space="preserve">Alta</w:t>
            </w:r>
          </w:p>
        </w:tc>
      </w:tr>
      <w:tr>
        <w:trPr>
          <w:cantSplit/>
        </w:trPr>
        <w:tc>
          <w:tcPr>
            <w:tcW w:w="1900" w:type="dxa"/>
            <w:vAlign w:val="center"/>
          </w:tcPr>
          <w:p>
            <w:pPr>
              <w:pStyle w:val="Normal"/>
              <w:keepNext/>
              <w:spacing w:lineRule="auto" w:line="240" w:before="40" w:after="40"/>
              <w:jc w:val="left"/>
              <w:rPr/>
            </w:pPr>
            <w:r>
              <w:rPr>
                <w:rFonts w:cs="Arial" w:ascii="Arial" w:hAnsi="Arial"/>
                <w:b/>
                <w:bCs/>
                <w:color w:val="auto"/>
                <w:sz w:val="20"/>
                <w:szCs w:val="20"/>
              </w:rPr>
              <w:t xml:space="preserve">Sensibilidade a correntes de ar</w:t>
            </w:r>
          </w:p>
        </w:tc>
        <w:tc>
          <w:tcPr>
            <w:tcW w:w="2200" w:type="dxa"/>
            <w:vAlign w:val="center"/>
          </w:tcPr>
          <w:p>
            <w:pPr>
              <w:pStyle w:val="Normal"/>
              <w:keepNext/>
              <w:spacing w:lineRule="auto" w:line="240" w:before="40" w:after="40"/>
              <w:jc w:val="left"/>
              <w:rPr/>
            </w:pPr>
            <w:r>
              <w:rPr>
                <w:rFonts w:cs="Arial" w:ascii="Arial" w:hAnsi="Arial"/>
                <w:color w:val="auto"/>
                <w:sz w:val="20"/>
                <w:szCs w:val="20"/>
              </w:rPr>
              <w:t xml:space="preserve">Baixa</w:t>
            </w:r>
          </w:p>
        </w:tc>
        <w:tc>
          <w:tcPr>
            <w:tcW w:w="2200" w:type="dxa"/>
            <w:vAlign w:val="center"/>
          </w:tcPr>
          <w:p>
            <w:pPr>
              <w:pStyle w:val="Normal"/>
              <w:keepNext/>
              <w:spacing w:lineRule="auto" w:line="240" w:before="40" w:after="40"/>
              <w:jc w:val="left"/>
              <w:rPr/>
            </w:pPr>
            <w:r>
              <w:rPr>
                <w:rFonts w:cs="Arial" w:ascii="Arial" w:hAnsi="Arial"/>
                <w:color w:val="auto"/>
                <w:sz w:val="20"/>
                <w:szCs w:val="20"/>
              </w:rPr>
              <w:t xml:space="preserve">Alta</w:t>
            </w:r>
          </w:p>
        </w:tc>
        <w:tc>
          <w:tcPr>
            <w:tcW w:w="2200" w:type="dxa"/>
            <w:vAlign w:val="center"/>
          </w:tcPr>
          <w:p>
            <w:pPr>
              <w:pStyle w:val="Normal"/>
              <w:keepNext/>
              <w:spacing w:lineRule="auto" w:line="240" w:before="40" w:after="40"/>
              <w:jc w:val="left"/>
              <w:rPr/>
            </w:pPr>
            <w:r>
              <w:rPr>
                <w:rFonts w:cs="Arial" w:ascii="Arial" w:hAnsi="Arial"/>
                <w:color w:val="auto"/>
                <w:sz w:val="20"/>
                <w:szCs w:val="20"/>
              </w:rPr>
              <w:t xml:space="preserve">Alta</w:t>
            </w:r>
          </w:p>
        </w:tc>
      </w:tr>
      <w:tr>
        <w:trPr>
          <w:cantSplit/>
        </w:trPr>
        <w:tc>
          <w:tcPr>
            <w:tcW w:w="1900" w:type="dxa"/>
            <w:vAlign w:val="center"/>
          </w:tcPr>
          <w:p>
            <w:pPr>
              <w:pStyle w:val="Normal"/>
              <w:keepNext/>
              <w:spacing w:lineRule="auto" w:line="240" w:before="40" w:after="40"/>
              <w:jc w:val="left"/>
              <w:rPr/>
            </w:pPr>
            <w:r>
              <w:rPr>
                <w:rFonts w:cs="Arial" w:ascii="Arial" w:hAnsi="Arial"/>
                <w:b/>
                <w:bCs/>
                <w:color w:val="auto"/>
                <w:sz w:val="20"/>
                <w:szCs w:val="20"/>
              </w:rPr>
              <w:t xml:space="preserve">Descontinuidades típicas</w:t>
            </w:r>
          </w:p>
        </w:tc>
        <w:tc>
          <w:tcPr>
            <w:tcW w:w="2200" w:type="dxa"/>
            <w:vAlign w:val="center"/>
          </w:tcPr>
          <w:p>
            <w:pPr>
              <w:pStyle w:val="Normal"/>
              <w:keepNext/>
              <w:spacing w:lineRule="auto" w:line="240" w:before="40" w:after="40"/>
              <w:jc w:val="left"/>
              <w:rPr/>
            </w:pPr>
            <w:r>
              <w:rPr>
                <w:rFonts w:cs="Arial" w:ascii="Arial" w:hAnsi="Arial"/>
                <w:color w:val="auto"/>
                <w:sz w:val="20"/>
                <w:szCs w:val="20"/>
              </w:rPr>
              <w:t xml:space="preserve">Inclusão de escória, porosidade por umidade, mordedura</w:t>
            </w:r>
          </w:p>
        </w:tc>
        <w:tc>
          <w:tcPr>
            <w:tcW w:w="2200" w:type="dxa"/>
            <w:vAlign w:val="center"/>
          </w:tcPr>
          <w:p>
            <w:pPr>
              <w:pStyle w:val="Normal"/>
              <w:keepNext/>
              <w:spacing w:lineRule="auto" w:line="240" w:before="40" w:after="40"/>
              <w:jc w:val="left"/>
              <w:rPr/>
            </w:pPr>
            <w:r>
              <w:rPr>
                <w:rFonts w:cs="Arial" w:ascii="Arial" w:hAnsi="Arial"/>
                <w:color w:val="auto"/>
                <w:sz w:val="20"/>
                <w:szCs w:val="20"/>
              </w:rPr>
              <w:t xml:space="preserve">Falta de fusão, porosidade, respingos</w:t>
            </w:r>
          </w:p>
        </w:tc>
        <w:tc>
          <w:tcPr>
            <w:tcW w:w="2200" w:type="dxa"/>
            <w:vAlign w:val="center"/>
          </w:tcPr>
          <w:p>
            <w:pPr>
              <w:pStyle w:val="Normal"/>
              <w:keepNext/>
              <w:spacing w:lineRule="auto" w:line="240" w:before="40" w:after="40"/>
              <w:jc w:val="left"/>
              <w:rPr/>
            </w:pPr>
            <w:r>
              <w:rPr>
                <w:rFonts w:cs="Arial" w:ascii="Arial" w:hAnsi="Arial"/>
                <w:color w:val="auto"/>
                <w:sz w:val="20"/>
                <w:szCs w:val="20"/>
              </w:rPr>
              <w:t xml:space="preserve">Inclusão de tungstênio, falta de penetração</w:t>
            </w:r>
          </w:p>
        </w:tc>
      </w:tr>
      <w:tr>
        <w:trPr>
          <w:cantSplit/>
        </w:trPr>
        <w:tc>
          <w:tcPr>
            <w:tcW w:w="1900" w:type="dxa"/>
            <w:vAlign w:val="center"/>
          </w:tcPr>
          <w:p>
            <w:pPr>
              <w:pStyle w:val="Normal"/>
              <w:keepNext/>
              <w:spacing w:lineRule="auto" w:line="240" w:before="40" w:after="40"/>
              <w:jc w:val="left"/>
              <w:rPr/>
            </w:pPr>
            <w:r>
              <w:rPr>
                <w:rFonts w:cs="Arial" w:ascii="Arial" w:hAnsi="Arial"/>
                <w:b/>
                <w:bCs/>
                <w:color w:val="auto"/>
                <w:sz w:val="20"/>
                <w:szCs w:val="20"/>
              </w:rPr>
              <w:t xml:space="preserve">Aplicações típicas</w:t>
            </w:r>
          </w:p>
        </w:tc>
        <w:tc>
          <w:tcPr>
            <w:tcW w:w="2200" w:type="dxa"/>
            <w:vAlign w:val="center"/>
          </w:tcPr>
          <w:p>
            <w:pPr>
              <w:pStyle w:val="Normal"/>
              <w:keepNext/>
              <w:spacing w:lineRule="auto" w:line="240" w:before="40" w:after="40"/>
              <w:jc w:val="left"/>
              <w:rPr/>
            </w:pPr>
            <w:r>
              <w:rPr>
                <w:rFonts w:cs="Arial" w:ascii="Arial" w:hAnsi="Arial"/>
                <w:color w:val="auto"/>
                <w:sz w:val="20"/>
                <w:szCs w:val="20"/>
              </w:rPr>
              <w:t xml:space="preserve">Manutenção, campo, estruturas</w:t>
            </w:r>
          </w:p>
        </w:tc>
        <w:tc>
          <w:tcPr>
            <w:tcW w:w="2200" w:type="dxa"/>
            <w:vAlign w:val="center"/>
          </w:tcPr>
          <w:p>
            <w:pPr>
              <w:pStyle w:val="Normal"/>
              <w:keepNext/>
              <w:spacing w:lineRule="auto" w:line="240" w:before="40" w:after="40"/>
              <w:jc w:val="left"/>
              <w:rPr/>
            </w:pPr>
            <w:r>
              <w:rPr>
                <w:rFonts w:cs="Arial" w:ascii="Arial" w:hAnsi="Arial"/>
                <w:color w:val="auto"/>
                <w:sz w:val="20"/>
                <w:szCs w:val="20"/>
              </w:rPr>
              <w:t xml:space="preserve">Produção seriada, caldeiraria</w:t>
            </w:r>
          </w:p>
        </w:tc>
        <w:tc>
          <w:tcPr>
            <w:tcW w:w="2200" w:type="dxa"/>
            <w:vAlign w:val="center"/>
          </w:tcPr>
          <w:p>
            <w:pPr>
              <w:pStyle w:val="Normal"/>
              <w:keepNext/>
              <w:spacing w:lineRule="auto" w:line="240" w:before="40" w:after="40"/>
              <w:jc w:val="left"/>
              <w:rPr/>
            </w:pPr>
            <w:r>
              <w:rPr>
                <w:rFonts w:cs="Arial" w:ascii="Arial" w:hAnsi="Arial"/>
                <w:color w:val="auto"/>
                <w:sz w:val="20"/>
                <w:szCs w:val="20"/>
              </w:rPr>
              <w:t xml:space="preserve">Passes de raiz, tubulações, chapas finas</w:t>
            </w:r>
          </w:p>
        </w:tc>
      </w:tr>
    </w:tbl>
    <w:p>
      <w:pPr>
        <w:pStyle w:val="Normal"/>
        <w:keepNext w:val="false"/>
        <w:spacing w:lineRule="auto" w:line="240" w:before="60" w:after="240"/>
        <w:jc w:val="center"/>
        <w:rPr/>
      </w:pPr>
      <w:r>
        <w:rPr>
          <w:rFonts w:cs="Arial" w:ascii="Arial" w:hAnsi="Arial"/>
          <w:color w:val="auto"/>
          <w:sz w:val="20"/>
          <w:szCs w:val="20"/>
        </w:rPr>
        <w:t xml:space="preserve">Fonte: adaptado de Marques, Modenesi e Bracarense (2011) e Wainer, Brandi e Mello (1992).</w:t>
      </w:r>
    </w:p>
    <w:p>
      <w:pPr>
        <w:pStyle w:val="Heading3"/>
        <w:keepNext/>
        <w:spacing w:lineRule="auto" w:line="360" w:before="480" w:after="240"/>
        <w:ind w:hanging="0"/>
        <w:jc w:val="both"/>
        <w:rPr/>
      </w:pPr>
      <w:bookmarkStart w:id="1011" w:name="_TocPI1011"/>
      <w:bookmarkEnd w:id="1011"/>
      <w:r>
        <w:rPr>
          <w:rFonts w:cs="Arial" w:ascii="Arial" w:hAnsi="Arial"/>
          <w:color w:val="auto"/>
          <w:sz w:val="24"/>
          <w:szCs w:val="24"/>
        </w:rPr>
        <w:t xml:space="preserve">2.3 DESCONTINUIDADES EM JUNTAS SOLDADAS</w:t>
      </w:r>
    </w:p>
    <w:p>
      <w:pPr>
        <w:pStyle w:val="TextBody"/>
        <w:spacing w:lineRule="auto" w:line="360" w:before="0" w:after="0"/>
        <w:ind w:firstLine="709"/>
        <w:jc w:val="both"/>
        <w:rPr/>
      </w:pPr>
      <w:r>
        <w:rPr>
          <w:rFonts w:cs="Arial" w:ascii="Arial" w:hAnsi="Arial"/>
          <w:color w:val="auto"/>
          <w:sz w:val="24"/>
          <w:szCs w:val="24"/>
        </w:rPr>
        <w:t xml:space="preserve">Descontinuidade é qualquer interrupção da estrutura típica de uma junta soldada, como a falta de homogeneidade de suas características físicas, mecânicas ou metalúrgicas. Uma descontinuidade só é considerada defeito quando, por sua natureza, dimensão ou efeito acumulado, torna a junta incapaz de atender aos requisitos mínimos da norma aplicável (AWS, 2020b). Assim, nem toda descontinuidade implica reprovação, sendo indispensável a comparação com um critério de aceitação definido.</w:t>
      </w:r>
    </w:p>
    <w:p>
      <w:pPr>
        <w:pStyle w:val="TextBody"/>
        <w:spacing w:lineRule="auto" w:line="360" w:before="0" w:after="0"/>
        <w:ind w:firstLine="709"/>
        <w:jc w:val="both"/>
        <w:rPr/>
      </w:pPr>
      <w:r>
        <w:rPr>
          <w:rFonts w:cs="Arial" w:ascii="Arial" w:hAnsi="Arial"/>
          <w:color w:val="auto"/>
          <w:sz w:val="24"/>
          <w:szCs w:val="24"/>
        </w:rPr>
        <w:t xml:space="preserve">A norma ISO 6520-1 classifica as imperfeições geométricas em soldagem por fusão em seis grupos: trincas; cavidades; inclusões sólidas; falta de fusão e de penetração; imperfeições de forma e dimensão; e imperfeições diversas (ISO, 2007).</w:t>
      </w:r>
    </w:p>
    <w:p>
      <w:pPr>
        <w:pStyle w:val="Heading4"/>
        <w:keepNext/>
        <w:spacing w:lineRule="auto" w:line="360" w:before="360" w:after="240"/>
        <w:ind w:hanging="0"/>
        <w:jc w:val="both"/>
        <w:rPr/>
      </w:pPr>
      <w:bookmarkStart w:id="1012" w:name="_TocPI1012"/>
      <w:bookmarkEnd w:id="1012"/>
      <w:r>
        <w:rPr>
          <w:rFonts w:cs="Arial" w:ascii="Arial" w:hAnsi="Arial"/>
          <w:b/>
          <w:bCs/>
          <w:color w:val="auto"/>
          <w:sz w:val="24"/>
          <w:szCs w:val="24"/>
        </w:rPr>
        <w:t xml:space="preserve">2.3.1 Principais Descontinuidades e suas Causas</w:t>
      </w:r>
    </w:p>
    <w:p>
      <w:pPr>
        <w:pStyle w:val="TextBody"/>
        <w:spacing w:lineRule="auto" w:line="360" w:before="0" w:after="0"/>
        <w:ind w:firstLine="709"/>
        <w:jc w:val="both"/>
        <w:rPr/>
      </w:pPr>
      <w:r>
        <w:rPr>
          <w:rFonts w:cs="Arial" w:ascii="Arial" w:hAnsi="Arial"/>
          <w:color w:val="auto"/>
          <w:sz w:val="24"/>
          <w:szCs w:val="24"/>
        </w:rPr>
        <w:t xml:space="preserve">As descontinuidades mais frequentes em juntas soldadas de aço carbono, bem como suas principais causas, são descritas a seguir (MARQUES; MODENESI; BRACARENSE, 2011; WAINER; BRANDI; MELLO, 1992):</w:t>
      </w:r>
    </w:p>
    <w:p>
      <w:pPr>
        <w:pStyle w:val="TextBody"/>
        <w:spacing w:lineRule="auto" w:line="360" w:before="0" w:after="0"/>
        <w:ind w:left="709" w:hanging="0"/>
        <w:jc w:val="both"/>
        <w:rPr/>
      </w:pPr>
      <w:r>
        <w:rPr>
          <w:rFonts w:cs="Arial" w:ascii="Arial" w:hAnsi="Arial"/>
          <w:color w:val="auto"/>
          <w:sz w:val="24"/>
          <w:szCs w:val="24"/>
        </w:rPr>
        <w:t xml:space="preserve">a) </w:t>
      </w:r>
      <w:r>
        <w:rPr>
          <w:rFonts w:cs="Arial" w:ascii="Arial" w:hAnsi="Arial"/>
          <w:b/>
          <w:bCs/>
          <w:color w:val="auto"/>
          <w:sz w:val="24"/>
          <w:szCs w:val="24"/>
        </w:rPr>
        <w:t xml:space="preserve">Porosidade:</w:t>
      </w:r>
      <w:r>
        <w:rPr>
          <w:rFonts w:cs="Arial" w:ascii="Arial" w:hAnsi="Arial"/>
          <w:color w:val="auto"/>
          <w:sz w:val="24"/>
          <w:szCs w:val="24"/>
        </w:rPr>
        <w:t xml:space="preserve"> cavidades formadas por gases (hidrogênio, nitrogênio e monóxido de carbono) aprisionados durante a solidificação. Decorre de umidade no revestimento do eletrodo, contaminação da junta por óleo, tinta ou ferrugem, vazão inadequada de gás, correntes de ar e arco excessivamente longo;</w:t>
      </w:r>
    </w:p>
    <w:p>
      <w:pPr>
        <w:pStyle w:val="TextBody"/>
        <w:spacing w:lineRule="auto" w:line="360" w:before="0" w:after="0"/>
        <w:ind w:left="709" w:hanging="0"/>
        <w:jc w:val="both"/>
        <w:rPr/>
      </w:pPr>
      <w:r>
        <w:rPr>
          <w:rFonts w:cs="Arial" w:ascii="Arial" w:hAnsi="Arial"/>
          <w:color w:val="auto"/>
          <w:sz w:val="24"/>
          <w:szCs w:val="24"/>
        </w:rPr>
        <w:t xml:space="preserve">b) </w:t>
      </w:r>
      <w:r>
        <w:rPr>
          <w:rFonts w:cs="Arial" w:ascii="Arial" w:hAnsi="Arial"/>
          <w:b/>
          <w:bCs/>
          <w:color w:val="auto"/>
          <w:sz w:val="24"/>
          <w:szCs w:val="24"/>
        </w:rPr>
        <w:t xml:space="preserve">Inclusão de escória:</w:t>
      </w:r>
      <w:r>
        <w:rPr>
          <w:rFonts w:cs="Arial" w:ascii="Arial" w:hAnsi="Arial"/>
          <w:color w:val="auto"/>
          <w:sz w:val="24"/>
          <w:szCs w:val="24"/>
        </w:rPr>
        <w:t xml:space="preserve"> partículas de escória aprisionadas no metal de solda, típicas do processo eletrodo revestido em soldas de múltiplos passes. Resultam de limpeza deficiente entre passes, corrente baixa, ângulo inadequado do eletrodo e chanfros muito estreitos;</w:t>
      </w:r>
    </w:p>
    <w:p>
      <w:pPr>
        <w:pStyle w:val="TextBody"/>
        <w:spacing w:lineRule="auto" w:line="360" w:before="0" w:after="0"/>
        <w:ind w:left="709" w:hanging="0"/>
        <w:jc w:val="both"/>
        <w:rPr/>
      </w:pPr>
      <w:r>
        <w:rPr>
          <w:rFonts w:cs="Arial" w:ascii="Arial" w:hAnsi="Arial"/>
          <w:color w:val="auto"/>
          <w:sz w:val="24"/>
          <w:szCs w:val="24"/>
        </w:rPr>
        <w:t xml:space="preserve">c) </w:t>
      </w:r>
      <w:r>
        <w:rPr>
          <w:rFonts w:cs="Arial" w:ascii="Arial" w:hAnsi="Arial"/>
          <w:b/>
          <w:bCs/>
          <w:color w:val="auto"/>
          <w:sz w:val="24"/>
          <w:szCs w:val="24"/>
        </w:rPr>
        <w:t xml:space="preserve">Inclusão de tungstênio:</w:t>
      </w:r>
      <w:r>
        <w:rPr>
          <w:rFonts w:cs="Arial" w:ascii="Arial" w:hAnsi="Arial"/>
          <w:color w:val="auto"/>
          <w:sz w:val="24"/>
          <w:szCs w:val="24"/>
        </w:rPr>
        <w:t xml:space="preserve"> fragmentos do eletrodo de tungstênio retidos na solda, característicos do processo TIG, causados pelo contato do eletrodo com a poça ou com a vareta e por corrente excessiva para o diâmetro do eletrodo;</w:t>
      </w:r>
    </w:p>
    <w:p>
      <w:pPr>
        <w:pStyle w:val="TextBody"/>
        <w:spacing w:lineRule="auto" w:line="360" w:before="0" w:after="0"/>
        <w:ind w:left="709" w:hanging="0"/>
        <w:jc w:val="both"/>
        <w:rPr/>
      </w:pPr>
      <w:r>
        <w:rPr>
          <w:rFonts w:cs="Arial" w:ascii="Arial" w:hAnsi="Arial"/>
          <w:color w:val="auto"/>
          <w:sz w:val="24"/>
          <w:szCs w:val="24"/>
        </w:rPr>
        <w:t xml:space="preserve">d) </w:t>
      </w:r>
      <w:r>
        <w:rPr>
          <w:rFonts w:cs="Arial" w:ascii="Arial" w:hAnsi="Arial"/>
          <w:b/>
          <w:bCs/>
          <w:color w:val="auto"/>
          <w:sz w:val="24"/>
          <w:szCs w:val="24"/>
        </w:rPr>
        <w:t xml:space="preserve">Falta de fusão:</w:t>
      </w:r>
      <w:r>
        <w:rPr>
          <w:rFonts w:cs="Arial" w:ascii="Arial" w:hAnsi="Arial"/>
          <w:color w:val="auto"/>
          <w:sz w:val="24"/>
          <w:szCs w:val="24"/>
        </w:rPr>
        <w:t xml:space="preserve"> ausência de união entre o metal de solda e o metal de base ou entre passes adjacentes. É frequente no processo MIG/MAG com transferência por curto-circuito e decorre de energia insuficiente, velocidade excessiva, posicionamento incorreto da tocha e presença de óxidos;</w:t>
      </w:r>
    </w:p>
    <w:p>
      <w:pPr>
        <w:pStyle w:val="TextBody"/>
        <w:spacing w:lineRule="auto" w:line="360" w:before="0" w:after="0"/>
        <w:ind w:left="709" w:hanging="0"/>
        <w:jc w:val="both"/>
        <w:rPr/>
      </w:pPr>
      <w:r>
        <w:rPr>
          <w:rFonts w:cs="Arial" w:ascii="Arial" w:hAnsi="Arial"/>
          <w:color w:val="auto"/>
          <w:sz w:val="24"/>
          <w:szCs w:val="24"/>
        </w:rPr>
        <w:t xml:space="preserve">e) </w:t>
      </w:r>
      <w:r>
        <w:rPr>
          <w:rFonts w:cs="Arial" w:ascii="Arial" w:hAnsi="Arial"/>
          <w:b/>
          <w:bCs/>
          <w:color w:val="auto"/>
          <w:sz w:val="24"/>
          <w:szCs w:val="24"/>
        </w:rPr>
        <w:t xml:space="preserve">Falta de penetração:</w:t>
      </w:r>
      <w:r>
        <w:rPr>
          <w:rFonts w:cs="Arial" w:ascii="Arial" w:hAnsi="Arial"/>
          <w:color w:val="auto"/>
          <w:sz w:val="24"/>
          <w:szCs w:val="24"/>
        </w:rPr>
        <w:t xml:space="preserve"> o metal de solda não atinge a raiz da junta. Suas causas são abertura de raiz insuficiente, nariz excessivo, corrente baixa e velocidade de soldagem elevada;</w:t>
      </w:r>
    </w:p>
    <w:p>
      <w:pPr>
        <w:pStyle w:val="TextBody"/>
        <w:spacing w:lineRule="auto" w:line="360" w:before="0" w:after="0"/>
        <w:ind w:left="709" w:hanging="0"/>
        <w:jc w:val="both"/>
        <w:rPr/>
      </w:pPr>
      <w:r>
        <w:rPr>
          <w:rFonts w:cs="Arial" w:ascii="Arial" w:hAnsi="Arial"/>
          <w:color w:val="auto"/>
          <w:sz w:val="24"/>
          <w:szCs w:val="24"/>
        </w:rPr>
        <w:t xml:space="preserve">f) </w:t>
      </w:r>
      <w:r>
        <w:rPr>
          <w:rFonts w:cs="Arial" w:ascii="Arial" w:hAnsi="Arial"/>
          <w:b/>
          <w:bCs/>
          <w:color w:val="auto"/>
          <w:sz w:val="24"/>
          <w:szCs w:val="24"/>
        </w:rPr>
        <w:t xml:space="preserve">Mordedura:</w:t>
      </w:r>
      <w:r>
        <w:rPr>
          <w:rFonts w:cs="Arial" w:ascii="Arial" w:hAnsi="Arial"/>
          <w:color w:val="auto"/>
          <w:sz w:val="24"/>
          <w:szCs w:val="24"/>
        </w:rPr>
        <w:t xml:space="preserve"> entalhe no metal de base, ao longo da margem do cordão, não preenchido pelo metal de solda. Deve-se a corrente excessiva, arco longo, velocidade elevada e ângulo incorreto do eletrodo ou da tocha;</w:t>
      </w:r>
    </w:p>
    <w:p>
      <w:pPr>
        <w:pStyle w:val="TextBody"/>
        <w:spacing w:lineRule="auto" w:line="360" w:before="0" w:after="0"/>
        <w:ind w:left="709" w:hanging="0"/>
        <w:jc w:val="both"/>
        <w:rPr/>
      </w:pPr>
      <w:r>
        <w:rPr>
          <w:rFonts w:cs="Arial" w:ascii="Arial" w:hAnsi="Arial"/>
          <w:color w:val="auto"/>
          <w:sz w:val="24"/>
          <w:szCs w:val="24"/>
        </w:rPr>
        <w:t xml:space="preserve">g) </w:t>
      </w:r>
      <w:r>
        <w:rPr>
          <w:rFonts w:cs="Arial" w:ascii="Arial" w:hAnsi="Arial"/>
          <w:b/>
          <w:bCs/>
          <w:color w:val="auto"/>
          <w:sz w:val="24"/>
          <w:szCs w:val="24"/>
        </w:rPr>
        <w:t xml:space="preserve">Sobreposição:</w:t>
      </w:r>
      <w:r>
        <w:rPr>
          <w:rFonts w:cs="Arial" w:ascii="Arial" w:hAnsi="Arial"/>
          <w:color w:val="auto"/>
          <w:sz w:val="24"/>
          <w:szCs w:val="24"/>
        </w:rPr>
        <w:t xml:space="preserve"> excesso de metal de solda que escorre sobre a superfície do metal de base sem se fundir a ela, provocado por velocidade de soldagem baixa e corrente inadequada;</w:t>
      </w:r>
    </w:p>
    <w:p>
      <w:pPr>
        <w:pStyle w:val="TextBody"/>
        <w:spacing w:lineRule="auto" w:line="360" w:before="0" w:after="0"/>
        <w:ind w:left="709" w:hanging="0"/>
        <w:jc w:val="both"/>
        <w:rPr/>
      </w:pPr>
      <w:r>
        <w:rPr>
          <w:rFonts w:cs="Arial" w:ascii="Arial" w:hAnsi="Arial"/>
          <w:color w:val="auto"/>
          <w:sz w:val="24"/>
          <w:szCs w:val="24"/>
        </w:rPr>
        <w:t xml:space="preserve">h) </w:t>
      </w:r>
      <w:r>
        <w:rPr>
          <w:rFonts w:cs="Arial" w:ascii="Arial" w:hAnsi="Arial"/>
          <w:b/>
          <w:bCs/>
          <w:color w:val="auto"/>
          <w:sz w:val="24"/>
          <w:szCs w:val="24"/>
        </w:rPr>
        <w:t xml:space="preserve">Trincas:</w:t>
      </w:r>
      <w:r>
        <w:rPr>
          <w:rFonts w:cs="Arial" w:ascii="Arial" w:hAnsi="Arial"/>
          <w:color w:val="auto"/>
          <w:sz w:val="24"/>
          <w:szCs w:val="24"/>
        </w:rPr>
        <w:t xml:space="preserve"> descontinuidades planares de extremidade aguda, as mais críticas por atuarem como concentradores de tensão. Podem ser a quente, ligadas à solidificação e à presença de enxofre e fósforo, ou a frio, ligadas ao hidrogênio, a microestruturas frágeis na ZTA e às tensões residuais;</w:t>
      </w:r>
    </w:p>
    <w:p>
      <w:pPr>
        <w:pStyle w:val="TextBody"/>
        <w:spacing w:lineRule="auto" w:line="360" w:before="0" w:after="0"/>
        <w:ind w:left="709" w:hanging="0"/>
        <w:jc w:val="both"/>
        <w:rPr/>
      </w:pPr>
      <w:r>
        <w:rPr>
          <w:rFonts w:cs="Arial" w:ascii="Arial" w:hAnsi="Arial"/>
          <w:color w:val="auto"/>
          <w:sz w:val="24"/>
          <w:szCs w:val="24"/>
        </w:rPr>
        <w:t xml:space="preserve">i) </w:t>
      </w:r>
      <w:r>
        <w:rPr>
          <w:rFonts w:cs="Arial" w:ascii="Arial" w:hAnsi="Arial"/>
          <w:b/>
          <w:bCs/>
          <w:color w:val="auto"/>
          <w:sz w:val="24"/>
          <w:szCs w:val="24"/>
        </w:rPr>
        <w:t xml:space="preserve">Respingos e aberturas de arco:</w:t>
      </w:r>
      <w:r>
        <w:rPr>
          <w:rFonts w:cs="Arial" w:ascii="Arial" w:hAnsi="Arial"/>
          <w:color w:val="auto"/>
          <w:sz w:val="24"/>
          <w:szCs w:val="24"/>
        </w:rPr>
        <w:t xml:space="preserve"> gotas de metal projetadas e marcas de arco fora da junta, que prejudicam o acabamento e podem originar pontos de início de trincas.</w:t>
      </w:r>
    </w:p>
    <w:p>
      <w:pPr>
        <w:pStyle w:val="Heading4"/>
        <w:keepNext/>
        <w:spacing w:lineRule="auto" w:line="360" w:before="360" w:after="240"/>
        <w:ind w:hanging="0"/>
        <w:jc w:val="both"/>
        <w:rPr/>
      </w:pPr>
      <w:bookmarkStart w:id="1013" w:name="_TocPI1013"/>
      <w:bookmarkEnd w:id="1013"/>
      <w:r>
        <w:rPr>
          <w:rFonts w:cs="Arial" w:ascii="Arial" w:hAnsi="Arial"/>
          <w:b/>
          <w:bCs/>
          <w:color w:val="auto"/>
          <w:sz w:val="24"/>
          <w:szCs w:val="24"/>
        </w:rPr>
        <w:t xml:space="preserve">2.3.2 Critérios de Aceitação</w:t>
      </w:r>
    </w:p>
    <w:p>
      <w:pPr>
        <w:pStyle w:val="TextBody"/>
        <w:spacing w:lineRule="auto" w:line="360" w:before="0" w:after="0"/>
        <w:ind w:firstLine="709"/>
        <w:jc w:val="both"/>
        <w:rPr/>
      </w:pPr>
      <w:r>
        <w:rPr>
          <w:rFonts w:cs="Arial" w:ascii="Arial" w:hAnsi="Arial"/>
          <w:color w:val="auto"/>
          <w:sz w:val="24"/>
          <w:szCs w:val="24"/>
        </w:rPr>
        <w:t xml:space="preserve">Os critérios de aceitação estabelecem os limites de tamanho, quantidade e distribuição de cada descontinuidade. Para estruturas de aço, a norma AWS D1.1 determina, na inspeção visual, que a solda não apresente trincas, que haja fusão completa entre o metal de solda e o metal de base, que as crateras sejam preenchidas e que a mordedura e a porosidade visível respeitem limites de profundidade e de quantidade (AWS, 2020a). A norma ISO 5817, por sua vez, define três níveis de qualidade para imperfeições em juntas de aço: B (elevado), C (intermediário) e D (moderado) (ISO, 2023).</w:t>
      </w:r>
    </w:p>
    <w:p>
      <w:pPr>
        <w:pStyle w:val="TextBody"/>
        <w:spacing w:lineRule="auto" w:line="360" w:before="0" w:after="0"/>
        <w:ind w:firstLine="709"/>
        <w:jc w:val="both"/>
        <w:rPr/>
      </w:pPr>
      <w:r>
        <w:rPr>
          <w:rFonts w:cs="Arial" w:ascii="Arial" w:hAnsi="Arial"/>
          <w:color w:val="auto"/>
          <w:sz w:val="24"/>
          <w:szCs w:val="24"/>
        </w:rPr>
        <w:t xml:space="preserve">Para o ensaio de dobramento guiado, o código ASME Seção IX estabelece que o corpo de prova dobrado não deve apresentar descontinuidade aberta superior a 3 mm, medida em qualquer direção na superfície convexa (ASME, 2023b). Neste trabalho, foram adotados o nível de qualidade C da ISO 5817 para a inspeção visual e o critério do ASME Seção IX para o dobramento.</w:t>
      </w:r>
    </w:p>
    <w:p>
      <w:pPr>
        <w:pStyle w:val="Heading3"/>
        <w:keepNext/>
        <w:spacing w:lineRule="auto" w:line="360" w:before="480" w:after="240"/>
        <w:ind w:hanging="0"/>
        <w:jc w:val="both"/>
        <w:rPr/>
      </w:pPr>
      <w:bookmarkStart w:id="1014" w:name="_TocPI1014"/>
      <w:bookmarkEnd w:id="1014"/>
      <w:r>
        <w:rPr>
          <w:rFonts w:cs="Arial" w:ascii="Arial" w:hAnsi="Arial"/>
          <w:color w:val="auto"/>
          <w:sz w:val="24"/>
          <w:szCs w:val="24"/>
        </w:rPr>
        <w:t xml:space="preserve">2.4 ENSAIOS PARA AVALIAÇÃO DA QUALIDADE DAS JUNTAS SOLDADAS</w:t>
      </w:r>
    </w:p>
    <w:p>
      <w:pPr>
        <w:pStyle w:val="TextBody"/>
        <w:spacing w:lineRule="auto" w:line="360" w:before="0" w:after="0"/>
        <w:ind w:firstLine="709"/>
        <w:jc w:val="both"/>
        <w:rPr/>
      </w:pPr>
      <w:r>
        <w:rPr>
          <w:rFonts w:cs="Arial" w:ascii="Arial" w:hAnsi="Arial"/>
          <w:color w:val="auto"/>
          <w:sz w:val="24"/>
          <w:szCs w:val="24"/>
        </w:rPr>
        <w:t xml:space="preserve">A avaliação da qualidade de uma junta soldada combina ensaios não destrutivos (END), que examinam a peça sem comprometer seu uso, e ensaios destrutivos, que avaliam o comportamento mecânico e a sanidade interna a partir de corpos de prova retirados da junta. Os ensaios adotados neste estudo foram escolhidos por sua viabilidade em ambiente de oficina e de laboratório técnico.</w:t>
      </w:r>
    </w:p>
    <w:p>
      <w:pPr>
        <w:pStyle w:val="Heading4"/>
        <w:keepNext/>
        <w:spacing w:lineRule="auto" w:line="360" w:before="360" w:after="240"/>
        <w:ind w:hanging="0"/>
        <w:jc w:val="both"/>
        <w:rPr/>
      </w:pPr>
      <w:bookmarkStart w:id="1015" w:name="_TocPI1015"/>
      <w:bookmarkEnd w:id="1015"/>
      <w:r>
        <w:rPr>
          <w:rFonts w:cs="Arial" w:ascii="Arial" w:hAnsi="Arial"/>
          <w:b/>
          <w:bCs/>
          <w:color w:val="auto"/>
          <w:sz w:val="24"/>
          <w:szCs w:val="24"/>
        </w:rPr>
        <w:t xml:space="preserve">2.4.1 Ensaio Visual e Dimensional</w:t>
      </w:r>
    </w:p>
    <w:p>
      <w:pPr>
        <w:pStyle w:val="TextBody"/>
        <w:spacing w:lineRule="auto" w:line="360" w:before="0" w:after="0"/>
        <w:ind w:firstLine="709"/>
        <w:jc w:val="both"/>
        <w:rPr/>
      </w:pPr>
      <w:r>
        <w:rPr>
          <w:rFonts w:cs="Arial" w:ascii="Arial" w:hAnsi="Arial"/>
          <w:color w:val="auto"/>
          <w:sz w:val="24"/>
          <w:szCs w:val="24"/>
        </w:rPr>
        <w:t xml:space="preserve">O ensaio visual é o primeiro e o mais utilizado dos END, devendo preceder qualquer outro. Com o auxílio de lupa, lanterna, trena e calibres de solda, verificam-se o reforço, a largura e a uniformidade do cordão, a presença de mordeduras, porosidades superficiais, trincas, respingos e falta de preenchimento. O código ASME Seção V recomenda iluminação mínima de 1.000 lux sobre a superfície examinada (ASME, 2023a).</w:t>
      </w:r>
    </w:p>
    <w:p>
      <w:pPr>
        <w:pStyle w:val="Heading4"/>
        <w:keepNext/>
        <w:spacing w:lineRule="auto" w:line="360" w:before="360" w:after="240"/>
        <w:ind w:hanging="0"/>
        <w:jc w:val="both"/>
        <w:rPr/>
      </w:pPr>
      <w:bookmarkStart w:id="1016" w:name="_TocPI1016"/>
      <w:bookmarkEnd w:id="1016"/>
      <w:r>
        <w:rPr>
          <w:rFonts w:cs="Arial" w:ascii="Arial" w:hAnsi="Arial"/>
          <w:b/>
          <w:bCs/>
          <w:color w:val="auto"/>
          <w:sz w:val="24"/>
          <w:szCs w:val="24"/>
        </w:rPr>
        <w:t xml:space="preserve">2.4.2 Ensaio por Líquido Penetrante</w:t>
      </w:r>
    </w:p>
    <w:p>
      <w:pPr>
        <w:pStyle w:val="TextBody"/>
        <w:spacing w:lineRule="auto" w:line="360" w:before="0" w:after="0"/>
        <w:ind w:firstLine="709"/>
        <w:jc w:val="both"/>
        <w:rPr/>
      </w:pPr>
      <w:r>
        <w:rPr>
          <w:rFonts w:cs="Arial" w:ascii="Arial" w:hAnsi="Arial"/>
          <w:color w:val="auto"/>
          <w:sz w:val="24"/>
          <w:szCs w:val="24"/>
        </w:rPr>
        <w:t xml:space="preserve">O ensaio por líquido penetrante detecta descontinuidades abertas à superfície, como trincas finas e porosidades, que podem passar despercebidas no exame visual. O procedimento, descrito no Artigo 6 do ASME Seção V, compreende as seguintes etapas (ASME, 2023a):</w:t>
      </w:r>
    </w:p>
    <w:p>
      <w:pPr>
        <w:pStyle w:val="TextBody"/>
        <w:spacing w:lineRule="auto" w:line="360" w:before="0" w:after="0"/>
        <w:ind w:left="709" w:hanging="0"/>
        <w:jc w:val="both"/>
        <w:rPr/>
      </w:pPr>
      <w:r>
        <w:rPr>
          <w:rFonts w:cs="Arial" w:ascii="Arial" w:hAnsi="Arial"/>
          <w:color w:val="auto"/>
          <w:sz w:val="24"/>
          <w:szCs w:val="24"/>
        </w:rPr>
        <w:t xml:space="preserve">a) limpeza e desengraxe da superfície;</w:t>
      </w:r>
    </w:p>
    <w:p>
      <w:pPr>
        <w:pStyle w:val="TextBody"/>
        <w:spacing w:lineRule="auto" w:line="360" w:before="0" w:after="0"/>
        <w:ind w:left="709" w:hanging="0"/>
        <w:jc w:val="both"/>
        <w:rPr/>
      </w:pPr>
      <w:r>
        <w:rPr>
          <w:rFonts w:cs="Arial" w:ascii="Arial" w:hAnsi="Arial"/>
          <w:color w:val="auto"/>
          <w:sz w:val="24"/>
          <w:szCs w:val="24"/>
        </w:rPr>
        <w:t xml:space="preserve">b) aplicação do líquido penetrante e aguardo do tempo de penetração;</w:t>
      </w:r>
    </w:p>
    <w:p>
      <w:pPr>
        <w:pStyle w:val="TextBody"/>
        <w:spacing w:lineRule="auto" w:line="360" w:before="0" w:after="0"/>
        <w:ind w:left="709" w:hanging="0"/>
        <w:jc w:val="both"/>
        <w:rPr/>
      </w:pPr>
      <w:r>
        <w:rPr>
          <w:rFonts w:cs="Arial" w:ascii="Arial" w:hAnsi="Arial"/>
          <w:color w:val="auto"/>
          <w:sz w:val="24"/>
          <w:szCs w:val="24"/>
        </w:rPr>
        <w:t xml:space="preserve">c) remoção do excesso de penetrante;</w:t>
      </w:r>
    </w:p>
    <w:p>
      <w:pPr>
        <w:pStyle w:val="TextBody"/>
        <w:spacing w:lineRule="auto" w:line="360" w:before="0" w:after="0"/>
        <w:ind w:left="709" w:hanging="0"/>
        <w:jc w:val="both"/>
        <w:rPr/>
      </w:pPr>
      <w:r>
        <w:rPr>
          <w:rFonts w:cs="Arial" w:ascii="Arial" w:hAnsi="Arial"/>
          <w:color w:val="auto"/>
          <w:sz w:val="24"/>
          <w:szCs w:val="24"/>
        </w:rPr>
        <w:t xml:space="preserve">d) aplicação do revelador, que atrai o penetrante retido nas descontinuidades e forma indicações visíveis;</w:t>
      </w:r>
    </w:p>
    <w:p>
      <w:pPr>
        <w:pStyle w:val="TextBody"/>
        <w:spacing w:lineRule="auto" w:line="360" w:before="0" w:after="0"/>
        <w:ind w:left="709" w:hanging="0"/>
        <w:jc w:val="both"/>
        <w:rPr/>
      </w:pPr>
      <w:r>
        <w:rPr>
          <w:rFonts w:cs="Arial" w:ascii="Arial" w:hAnsi="Arial"/>
          <w:color w:val="auto"/>
          <w:sz w:val="24"/>
          <w:szCs w:val="24"/>
        </w:rPr>
        <w:t xml:space="preserve">e) inspeção, registro das indicações e limpeza final da peça.</w:t>
      </w:r>
    </w:p>
    <w:p>
      <w:pPr>
        <w:pStyle w:val="Heading4"/>
        <w:keepNext/>
        <w:spacing w:lineRule="auto" w:line="360" w:before="360" w:after="240"/>
        <w:ind w:hanging="0"/>
        <w:jc w:val="both"/>
        <w:rPr/>
      </w:pPr>
      <w:bookmarkStart w:id="1017" w:name="_TocPI1017"/>
      <w:bookmarkEnd w:id="1017"/>
      <w:r>
        <w:rPr>
          <w:rFonts w:cs="Arial" w:ascii="Arial" w:hAnsi="Arial"/>
          <w:b/>
          <w:bCs/>
          <w:color w:val="auto"/>
          <w:sz w:val="24"/>
          <w:szCs w:val="24"/>
        </w:rPr>
        <w:t xml:space="preserve">2.4.3 Ensaio Macrográfico</w:t>
      </w:r>
    </w:p>
    <w:p>
      <w:pPr>
        <w:pStyle w:val="TextBody"/>
        <w:spacing w:lineRule="auto" w:line="360" w:before="0" w:after="0"/>
        <w:ind w:firstLine="709"/>
        <w:jc w:val="both"/>
        <w:rPr/>
      </w:pPr>
      <w:r>
        <w:rPr>
          <w:rFonts w:cs="Arial" w:ascii="Arial" w:hAnsi="Arial"/>
          <w:color w:val="auto"/>
          <w:sz w:val="24"/>
          <w:szCs w:val="24"/>
        </w:rPr>
        <w:t xml:space="preserve">O ensaio macrográfico consiste no corte transversal da junta, no lixamento progressivo da seção e no ataque químico com reagente adequado, como o Nital, para revelar, a olho nu ou com pequeno aumento, as regiões da solda (ZF, ZTA e MB). O ensaio permite avaliar a penetração, o perfil do cordão, a sequência de passes e a presença de descontinuidades internas, como poros, inclusões de escória e falta de fusão (MODENESI; MARQUES; SANTOS, 2012).</w:t>
      </w:r>
    </w:p>
    <w:p>
      <w:pPr>
        <w:pStyle w:val="Heading4"/>
        <w:keepNext/>
        <w:spacing w:lineRule="auto" w:line="360" w:before="360" w:after="240"/>
        <w:ind w:hanging="0"/>
        <w:jc w:val="both"/>
        <w:rPr/>
      </w:pPr>
      <w:bookmarkStart w:id="1018" w:name="_TocPI1018"/>
      <w:bookmarkEnd w:id="1018"/>
      <w:r>
        <w:rPr>
          <w:rFonts w:cs="Arial" w:ascii="Arial" w:hAnsi="Arial"/>
          <w:b/>
          <w:bCs/>
          <w:color w:val="auto"/>
          <w:sz w:val="24"/>
          <w:szCs w:val="24"/>
        </w:rPr>
        <w:t xml:space="preserve">2.4.4 Ensaio de Dobramento Guiado</w:t>
      </w:r>
    </w:p>
    <w:p>
      <w:pPr>
        <w:pStyle w:val="TextBody"/>
        <w:spacing w:lineRule="auto" w:line="360" w:before="0" w:after="0"/>
        <w:ind w:firstLine="709"/>
        <w:jc w:val="both"/>
        <w:rPr/>
      </w:pPr>
      <w:r>
        <w:rPr>
          <w:rFonts w:cs="Arial" w:ascii="Arial" w:hAnsi="Arial"/>
          <w:color w:val="auto"/>
          <w:sz w:val="24"/>
          <w:szCs w:val="24"/>
        </w:rPr>
        <w:t xml:space="preserve">No ensaio de dobramento guiado, corpos de prova retirados transversalmente à solda são dobrados a 180° sobre um mandril de diâmetro padronizado. Na variante de face, a superfície do acabamento fica tracionada; na de raiz, a raiz da solda é tracionada. O ensaio avalia a ductilidade e a sanidade da junta, pois descontinuidades internas, como falta de fusão e inclusões, se abrem durante a deformação. Para aços carbono do grupo P-No. 1, o ASME Seção IX prevê mandril com diâmetro igual a quatro vezes a espessura do corpo de prova (ASME, 2023b).</w:t>
      </w:r>
    </w:p>
    <w:p>
      <w:pPr>
        <w:pStyle w:val="Heading3"/>
        <w:keepNext/>
        <w:spacing w:lineRule="auto" w:line="360" w:before="480" w:after="240"/>
        <w:ind w:hanging="0"/>
        <w:jc w:val="both"/>
        <w:rPr/>
      </w:pPr>
      <w:bookmarkStart w:id="1019" w:name="_TocPI1019"/>
      <w:bookmarkEnd w:id="1019"/>
      <w:r>
        <w:rPr>
          <w:rFonts w:cs="Arial" w:ascii="Arial" w:hAnsi="Arial"/>
          <w:color w:val="auto"/>
          <w:sz w:val="24"/>
          <w:szCs w:val="24"/>
        </w:rPr>
        <w:t xml:space="preserve">2.5 SEGURANÇA NAS OPERAÇÕES DE SOLDAGEM</w:t>
      </w:r>
    </w:p>
    <w:p>
      <w:pPr>
        <w:pStyle w:val="TextBody"/>
        <w:spacing w:lineRule="auto" w:line="360" w:before="0" w:after="0"/>
        <w:ind w:firstLine="709"/>
        <w:jc w:val="both"/>
        <w:rPr/>
      </w:pPr>
      <w:r>
        <w:rPr>
          <w:rFonts w:cs="Arial" w:ascii="Arial" w:hAnsi="Arial"/>
          <w:color w:val="auto"/>
          <w:sz w:val="24"/>
          <w:szCs w:val="24"/>
        </w:rPr>
        <w:t xml:space="preserve">As atividades de soldagem, corte e preparação de corpos de prova expõem o trabalhador a riscos físicos, químicos e de acidentes. Em conformidade com as Normas Regulamentadoras (NR) do Ministério do Trabalho e Emprego, a prevenção exige a combinação de medidas de proteção coletiva, procedimentos administrativos e Equipamentos de Proteção Individual (EPI).</w:t>
      </w:r>
    </w:p>
    <w:p>
      <w:pPr>
        <w:pStyle w:val="Heading4"/>
        <w:keepNext/>
        <w:spacing w:lineRule="auto" w:line="360" w:before="360" w:after="240"/>
        <w:ind w:hanging="0"/>
        <w:jc w:val="both"/>
        <w:rPr/>
      </w:pPr>
      <w:bookmarkStart w:id="1020" w:name="_TocPI1020"/>
      <w:bookmarkEnd w:id="1020"/>
      <w:r>
        <w:rPr>
          <w:rFonts w:cs="Arial" w:ascii="Arial" w:hAnsi="Arial"/>
          <w:b/>
          <w:bCs/>
          <w:color w:val="auto"/>
          <w:sz w:val="24"/>
          <w:szCs w:val="24"/>
        </w:rPr>
        <w:t xml:space="preserve">2.5.1 Riscos Físicos e Equipamentos de Proteção Individual</w:t>
      </w:r>
    </w:p>
    <w:p>
      <w:pPr>
        <w:pStyle w:val="TextBody"/>
        <w:spacing w:lineRule="auto" w:line="360" w:before="0" w:after="0"/>
        <w:ind w:firstLine="709"/>
        <w:jc w:val="both"/>
        <w:rPr/>
      </w:pPr>
      <w:r>
        <w:rPr>
          <w:rFonts w:cs="Arial" w:ascii="Arial" w:hAnsi="Arial"/>
          <w:color w:val="auto"/>
          <w:sz w:val="24"/>
          <w:szCs w:val="24"/>
        </w:rPr>
        <w:t xml:space="preserve">O arco elétrico emite intensa radiação ultravioleta e infravermelha, capaz de provocar queimaduras na pele e lesões oculares, além de calor, fagulhas e risco de choque elétrico. Conforme a NR-6, o soldador deve utilizar máscara de solda com filtro de tonalidade compatível com a corrente de soldagem, avental, luvas, mangotes e perneiras de raspa, calçado de segurança, óculos de segurança nas operações de esmerilhamento e protetor auricular (BRASIL, 2022). Biombos ou cortinas devem isolar o posto de trabalho para proteger as pessoas que circulam nas proximidades.</w:t>
      </w:r>
    </w:p>
    <w:p>
      <w:pPr>
        <w:pStyle w:val="Heading4"/>
        <w:keepNext/>
        <w:spacing w:lineRule="auto" w:line="360" w:before="360" w:after="240"/>
        <w:ind w:hanging="0"/>
        <w:jc w:val="both"/>
        <w:rPr/>
      </w:pPr>
      <w:bookmarkStart w:id="1021" w:name="_TocPI1021"/>
      <w:bookmarkEnd w:id="1021"/>
      <w:r>
        <w:rPr>
          <w:rFonts w:cs="Arial" w:ascii="Arial" w:hAnsi="Arial"/>
          <w:b/>
          <w:bCs/>
          <w:color w:val="auto"/>
          <w:sz w:val="24"/>
          <w:szCs w:val="24"/>
        </w:rPr>
        <w:t xml:space="preserve">2.5.2 Fumos, Gases e Riscos de Incêndio</w:t>
      </w:r>
    </w:p>
    <w:p>
      <w:pPr>
        <w:pStyle w:val="TextBody"/>
        <w:spacing w:lineRule="auto" w:line="360" w:before="0" w:after="0"/>
        <w:ind w:firstLine="709"/>
        <w:jc w:val="both"/>
        <w:rPr/>
      </w:pPr>
      <w:r>
        <w:rPr>
          <w:rFonts w:cs="Arial" w:ascii="Arial" w:hAnsi="Arial"/>
          <w:color w:val="auto"/>
          <w:sz w:val="24"/>
          <w:szCs w:val="24"/>
        </w:rPr>
        <w:t xml:space="preserve">A soldagem gera fumos metálicos, compostos principalmente por óxidos de ferro e de manganês, além de gases como o ozônio, especialmente intenso nos processos TIG e MIG/MAG, e o monóxido de carbono. A exposição a esses agentes é tratada pela NR-15 e deve ser controlada por ventilação local exaustora e, quando necessário, por respiradores do tipo PFF2 (BRASIL, 2022). Os cilindros de gás devem permanecer na posição vertical, fixados por correntes e com os reguladores de pressão em bom estado.</w:t>
      </w:r>
    </w:p>
    <w:p>
      <w:pPr>
        <w:pStyle w:val="TextBody"/>
        <w:spacing w:lineRule="auto" w:line="360" w:before="0" w:after="0"/>
        <w:ind w:firstLine="709"/>
        <w:jc w:val="both"/>
        <w:rPr/>
      </w:pPr>
      <w:r>
        <w:rPr>
          <w:rFonts w:cs="Arial" w:ascii="Arial" w:hAnsi="Arial"/>
          <w:color w:val="auto"/>
          <w:sz w:val="24"/>
          <w:szCs w:val="24"/>
        </w:rPr>
        <w:t xml:space="preserve">Por envolver fagulhas e peças aquecidas, a atividade exige a remoção de materiais combustíveis do entorno, a disponibilidade de extintores adequados e, em ambientes industriais, a emissão de permissão de trabalho a quente. Na preparação dos corpos de prova, as máquinas de corte e as esmerilhadeiras devem possuir as proteções exigidas pela NR-12 (BRASIL, 2022).</w:t>
      </w:r>
    </w:p>
    <w:p>
      <w:pPr>
        <w:pStyle w:val="Heading3"/>
        <w:keepNext/>
        <w:spacing w:lineRule="auto" w:line="360" w:before="480" w:after="240"/>
        <w:ind w:hanging="0"/>
        <w:jc w:val="both"/>
        <w:rPr/>
      </w:pPr>
      <w:bookmarkStart w:id="1022" w:name="_TocPI1022"/>
      <w:bookmarkEnd w:id="1022"/>
      <w:r>
        <w:rPr>
          <w:rFonts w:cs="Arial" w:ascii="Arial" w:hAnsi="Arial"/>
          <w:color w:val="auto"/>
          <w:sz w:val="24"/>
          <w:szCs w:val="24"/>
        </w:rPr>
        <w:t xml:space="preserve">2.6 METODOLOGIA</w:t>
      </w:r>
    </w:p>
    <w:p>
      <w:pPr>
        <w:pStyle w:val="TextBody"/>
        <w:spacing w:lineRule="auto" w:line="360" w:before="0" w:after="0"/>
        <w:ind w:firstLine="709"/>
        <w:jc w:val="both"/>
        <w:rPr/>
      </w:pPr>
      <w:r>
        <w:rPr>
          <w:rFonts w:cs="Arial" w:ascii="Arial" w:hAnsi="Arial"/>
          <w:color w:val="auto"/>
          <w:sz w:val="24"/>
          <w:szCs w:val="24"/>
        </w:rPr>
        <w:t xml:space="preserve">Este projeto caracteriza-se como uma pesquisa aplicada, de caráter experimental e comparativo, com abordagem quantitativa e qualitativa. O estudo foi desenvolvido na oficina de soldagem do SENAI Três Lagoas e organizado nas seguintes etapas:</w:t>
      </w:r>
    </w:p>
    <w:p>
      <w:pPr>
        <w:pStyle w:val="TextBody"/>
        <w:spacing w:lineRule="auto" w:line="360" w:before="0" w:after="0"/>
        <w:ind w:left="709" w:hanging="0"/>
        <w:jc w:val="both"/>
        <w:rPr/>
      </w:pPr>
      <w:r>
        <w:rPr>
          <w:rFonts w:cs="Arial" w:ascii="Arial" w:hAnsi="Arial"/>
          <w:color w:val="auto"/>
          <w:sz w:val="24"/>
          <w:szCs w:val="24"/>
        </w:rPr>
        <w:t xml:space="preserve">a) revisão bibliográfica em livros, normas técnicas e catálogos de fabricantes sobre soldagem, descontinuidades e ensaios;</w:t>
      </w:r>
    </w:p>
    <w:p>
      <w:pPr>
        <w:pStyle w:val="TextBody"/>
        <w:spacing w:lineRule="auto" w:line="360" w:before="0" w:after="0"/>
        <w:ind w:left="709" w:hanging="0"/>
        <w:jc w:val="both"/>
        <w:rPr/>
      </w:pPr>
      <w:r>
        <w:rPr>
          <w:rFonts w:cs="Arial" w:ascii="Arial" w:hAnsi="Arial"/>
          <w:color w:val="auto"/>
          <w:sz w:val="24"/>
          <w:szCs w:val="24"/>
        </w:rPr>
        <w:t xml:space="preserve">b) preparação dos corpos de prova;</w:t>
      </w:r>
    </w:p>
    <w:p>
      <w:pPr>
        <w:pStyle w:val="TextBody"/>
        <w:spacing w:lineRule="auto" w:line="360" w:before="0" w:after="0"/>
        <w:ind w:left="709" w:hanging="0"/>
        <w:jc w:val="both"/>
        <w:rPr/>
      </w:pPr>
      <w:r>
        <w:rPr>
          <w:rFonts w:cs="Arial" w:ascii="Arial" w:hAnsi="Arial"/>
          <w:color w:val="auto"/>
          <w:sz w:val="24"/>
          <w:szCs w:val="24"/>
        </w:rPr>
        <w:t xml:space="preserve">c) soldagem dos corpos de prova pelos três processos, com registro dos parâmetros e dos tempos de execução;</w:t>
      </w:r>
    </w:p>
    <w:p>
      <w:pPr>
        <w:pStyle w:val="TextBody"/>
        <w:spacing w:lineRule="auto" w:line="360" w:before="0" w:after="0"/>
        <w:ind w:left="709" w:hanging="0"/>
        <w:jc w:val="both"/>
        <w:rPr/>
      </w:pPr>
      <w:r>
        <w:rPr>
          <w:rFonts w:cs="Arial" w:ascii="Arial" w:hAnsi="Arial"/>
          <w:color w:val="auto"/>
          <w:sz w:val="24"/>
          <w:szCs w:val="24"/>
        </w:rPr>
        <w:t xml:space="preserve">d) realização dos ensaios visual e dimensional, por líquido penetrante, macrográfico e de dobramento guiado;</w:t>
      </w:r>
    </w:p>
    <w:p>
      <w:pPr>
        <w:pStyle w:val="TextBody"/>
        <w:spacing w:lineRule="auto" w:line="360" w:before="0" w:after="0"/>
        <w:ind w:left="709" w:hanging="0"/>
        <w:jc w:val="both"/>
        <w:rPr/>
      </w:pPr>
      <w:r>
        <w:rPr>
          <w:rFonts w:cs="Arial" w:ascii="Arial" w:hAnsi="Arial"/>
          <w:color w:val="auto"/>
          <w:sz w:val="24"/>
          <w:szCs w:val="24"/>
        </w:rPr>
        <w:t xml:space="preserve">e) análise comparativa dos resultados à luz dos critérios de aceitação adotados.</w:t>
      </w:r>
    </w:p>
    <w:p>
      <w:pPr>
        <w:pStyle w:val="TextBody"/>
        <w:spacing w:lineRule="auto" w:line="360" w:before="0" w:after="0"/>
        <w:ind w:firstLine="709"/>
        <w:jc w:val="both"/>
        <w:rPr/>
      </w:pPr>
      <w:r>
        <w:rPr>
          <w:rFonts w:cs="Arial" w:ascii="Arial" w:hAnsi="Arial"/>
          <w:color w:val="auto"/>
          <w:sz w:val="24"/>
          <w:szCs w:val="24"/>
        </w:rPr>
        <w:t xml:space="preserve">Foram utilizadas chapas de aço carbono ASTM A36 com 9,5 mm de espessura, cortadas nas dimensões de 300 mm × 150 mm e unidas aos pares em junta de topo, com chanfro em V de 60°, nariz de 1,5 mm e abertura de raiz de 2,5 mm. Foram confeccionadas duas juntas por processo, totalizando seis juntas, todas soldadas na posição plana (1G) pelo mesmo soldador, a fim de reduzir a influência da habilidade individual nos resultados.</w:t>
      </w:r>
    </w:p>
    <w:p>
      <w:pPr>
        <w:pStyle w:val="TextBody"/>
        <w:spacing w:lineRule="auto" w:line="360" w:before="0" w:after="0"/>
        <w:ind w:firstLine="709"/>
        <w:jc w:val="both"/>
        <w:rPr/>
      </w:pPr>
      <w:r>
        <w:rPr>
          <w:rFonts w:cs="Arial" w:ascii="Arial" w:hAnsi="Arial"/>
          <w:color w:val="auto"/>
          <w:sz w:val="24"/>
          <w:szCs w:val="24"/>
        </w:rPr>
        <w:t xml:space="preserve">Antes da soldagem, as faces do chanfro e as regiões adjacentes foram limpas com escova rotativa e desengraxadas com solvente. Os eletrodos E7018 foram ressecados em estufa conforme a recomendação do fabricante. Em todas as juntas, executaram-se passe de raiz, passes de enchimento e passe de acabamento, com limpeza entre passes e temperatura de interpasse limitada a 250 °C. Os parâmetros adotados são apresentados no Quadro 2.</w:t>
      </w:r>
    </w:p>
    <w:p>
      <w:pPr>
        <w:pStyle w:val="Normal"/>
        <w:keepNext w:val="true"/>
        <w:spacing w:lineRule="auto" w:line="240" w:before="240" w:after="60"/>
        <w:jc w:val="center"/>
        <w:rPr/>
      </w:pPr>
      <w:r>
        <w:rPr>
          <w:rFonts w:cs="Arial" w:ascii="Arial" w:hAnsi="Arial"/>
          <w:b/>
          <w:bCs/>
          <w:color w:val="auto"/>
          <w:sz w:val="20"/>
          <w:szCs w:val="20"/>
        </w:rPr>
        <w:t xml:space="preserve">Quadro 2 –</w:t>
      </w:r>
      <w:r>
        <w:rPr>
          <w:rFonts w:cs="Arial" w:ascii="Arial" w:hAnsi="Arial"/>
          <w:color w:val="auto"/>
          <w:sz w:val="20"/>
          <w:szCs w:val="20"/>
        </w:rPr>
        <w:t xml:space="preserve"> Parâmetros de soldagem adotados em cada processo</w:t>
      </w:r>
    </w:p>
    <w:tbl>
      <w:tblPr>
        <w:tblW w:w="85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Pr>
      <w:tblGrid>
        <w:gridCol w:w="2000"/>
        <w:gridCol w:w="2170"/>
        <w:gridCol w:w="2170"/>
        <w:gridCol w:w="2160"/>
      </w:tblGrid>
      <w:tr>
        <w:trPr>
          <w:tblHeader/>
          <w:cantSplit/>
        </w:trPr>
        <w:tc>
          <w:tcPr>
            <w:tcW w:w="2000" w:type="dxa"/>
            <w:shd w:val="clear" w:color="auto" w:fill="D9D9D9"/>
            <w:vAlign w:val="center"/>
          </w:tcPr>
          <w:p>
            <w:pPr>
              <w:pStyle w:val="Normal"/>
              <w:keepNext/>
              <w:spacing w:lineRule="auto" w:line="240" w:before="40" w:after="40"/>
              <w:jc w:val="center"/>
              <w:rPr/>
            </w:pPr>
            <w:r>
              <w:rPr>
                <w:rFonts w:cs="Arial" w:ascii="Arial" w:hAnsi="Arial"/>
                <w:b/>
                <w:bCs/>
                <w:color w:val="auto"/>
                <w:sz w:val="20"/>
                <w:szCs w:val="20"/>
              </w:rPr>
              <w:t xml:space="preserve">Parâmetro</w:t>
            </w:r>
          </w:p>
        </w:tc>
        <w:tc>
          <w:tcPr>
            <w:tcW w:w="2170" w:type="dxa"/>
            <w:shd w:val="clear" w:color="auto" w:fill="D9D9D9"/>
            <w:vAlign w:val="center"/>
          </w:tcPr>
          <w:p>
            <w:pPr>
              <w:pStyle w:val="Normal"/>
              <w:keepNext/>
              <w:spacing w:lineRule="auto" w:line="240" w:before="40" w:after="40"/>
              <w:jc w:val="center"/>
              <w:rPr/>
            </w:pPr>
            <w:r>
              <w:rPr>
                <w:rFonts w:cs="Arial" w:ascii="Arial" w:hAnsi="Arial"/>
                <w:b/>
                <w:bCs/>
                <w:color w:val="auto"/>
                <w:sz w:val="20"/>
                <w:szCs w:val="20"/>
              </w:rPr>
              <w:t xml:space="preserve">Eletrodo revestido</w:t>
            </w:r>
          </w:p>
        </w:tc>
        <w:tc>
          <w:tcPr>
            <w:tcW w:w="2170" w:type="dxa"/>
            <w:shd w:val="clear" w:color="auto" w:fill="D9D9D9"/>
            <w:vAlign w:val="center"/>
          </w:tcPr>
          <w:p>
            <w:pPr>
              <w:pStyle w:val="Normal"/>
              <w:keepNext/>
              <w:spacing w:lineRule="auto" w:line="240" w:before="40" w:after="40"/>
              <w:jc w:val="center"/>
              <w:rPr/>
            </w:pPr>
            <w:r>
              <w:rPr>
                <w:rFonts w:cs="Arial" w:ascii="Arial" w:hAnsi="Arial"/>
                <w:b/>
                <w:bCs/>
                <w:color w:val="auto"/>
                <w:sz w:val="20"/>
                <w:szCs w:val="20"/>
              </w:rPr>
              <w:t xml:space="preserve">MIG/MAG</w:t>
            </w:r>
          </w:p>
        </w:tc>
        <w:tc>
          <w:tcPr>
            <w:tcW w:w="2160" w:type="dxa"/>
            <w:shd w:val="clear" w:color="auto" w:fill="D9D9D9"/>
            <w:vAlign w:val="center"/>
          </w:tcPr>
          <w:p>
            <w:pPr>
              <w:pStyle w:val="Normal"/>
              <w:keepNext/>
              <w:spacing w:lineRule="auto" w:line="240" w:before="40" w:after="40"/>
              <w:jc w:val="center"/>
              <w:rPr/>
            </w:pPr>
            <w:r>
              <w:rPr>
                <w:rFonts w:cs="Arial" w:ascii="Arial" w:hAnsi="Arial"/>
                <w:b/>
                <w:bCs/>
                <w:color w:val="auto"/>
                <w:sz w:val="20"/>
                <w:szCs w:val="20"/>
              </w:rPr>
              <w:t xml:space="preserve">TIG</w:t>
            </w:r>
          </w:p>
        </w:tc>
      </w:tr>
      <w:tr>
        <w:trPr>
          <w:cantSplit/>
        </w:trPr>
        <w:tc>
          <w:tcPr>
            <w:tcW w:w="2000" w:type="dxa"/>
            <w:vAlign w:val="center"/>
          </w:tcPr>
          <w:p>
            <w:pPr>
              <w:pStyle w:val="Normal"/>
              <w:keepNext/>
              <w:spacing w:lineRule="auto" w:line="240" w:before="40" w:after="40"/>
              <w:jc w:val="left"/>
              <w:rPr/>
            </w:pPr>
            <w:r>
              <w:rPr>
                <w:rFonts w:cs="Arial" w:ascii="Arial" w:hAnsi="Arial"/>
                <w:b/>
                <w:bCs/>
                <w:color w:val="auto"/>
                <w:sz w:val="20"/>
                <w:szCs w:val="20"/>
              </w:rPr>
              <w:t xml:space="preserve">Consumível</w:t>
            </w:r>
          </w:p>
        </w:tc>
        <w:tc>
          <w:tcPr>
            <w:tcW w:w="2170" w:type="dxa"/>
            <w:vAlign w:val="center"/>
          </w:tcPr>
          <w:p>
            <w:pPr>
              <w:pStyle w:val="Normal"/>
              <w:keepNext/>
              <w:spacing w:lineRule="auto" w:line="240" w:before="40" w:after="40"/>
              <w:jc w:val="left"/>
              <w:rPr/>
            </w:pPr>
            <w:r>
              <w:rPr>
                <w:rFonts w:cs="Arial" w:ascii="Arial" w:hAnsi="Arial"/>
                <w:color w:val="auto"/>
                <w:sz w:val="20"/>
                <w:szCs w:val="20"/>
              </w:rPr>
              <w:t xml:space="preserve">Eletrodo E7018 (AWS A5.1)</w:t>
            </w:r>
          </w:p>
        </w:tc>
        <w:tc>
          <w:tcPr>
            <w:tcW w:w="2170" w:type="dxa"/>
            <w:vAlign w:val="center"/>
          </w:tcPr>
          <w:p>
            <w:pPr>
              <w:pStyle w:val="Normal"/>
              <w:keepNext/>
              <w:spacing w:lineRule="auto" w:line="240" w:before="40" w:after="40"/>
              <w:jc w:val="left"/>
              <w:rPr/>
            </w:pPr>
            <w:r>
              <w:rPr>
                <w:rFonts w:cs="Arial" w:ascii="Arial" w:hAnsi="Arial"/>
                <w:color w:val="auto"/>
                <w:sz w:val="20"/>
                <w:szCs w:val="20"/>
              </w:rPr>
              <w:t xml:space="preserve">Arame ER70S-6 (AWS A5.18)</w:t>
            </w:r>
          </w:p>
        </w:tc>
        <w:tc>
          <w:tcPr>
            <w:tcW w:w="2160" w:type="dxa"/>
            <w:vAlign w:val="center"/>
          </w:tcPr>
          <w:p>
            <w:pPr>
              <w:pStyle w:val="Normal"/>
              <w:keepNext/>
              <w:spacing w:lineRule="auto" w:line="240" w:before="40" w:after="40"/>
              <w:jc w:val="left"/>
              <w:rPr/>
            </w:pPr>
            <w:r>
              <w:rPr>
                <w:rFonts w:cs="Arial" w:ascii="Arial" w:hAnsi="Arial"/>
                <w:color w:val="auto"/>
                <w:sz w:val="20"/>
                <w:szCs w:val="20"/>
              </w:rPr>
              <w:t xml:space="preserve">Vareta ER70S-3 (AWS A5.18)</w:t>
            </w:r>
          </w:p>
        </w:tc>
      </w:tr>
      <w:tr>
        <w:trPr>
          <w:cantSplit/>
        </w:trPr>
        <w:tc>
          <w:tcPr>
            <w:tcW w:w="2000" w:type="dxa"/>
            <w:vAlign w:val="center"/>
          </w:tcPr>
          <w:p>
            <w:pPr>
              <w:pStyle w:val="Normal"/>
              <w:keepNext/>
              <w:spacing w:lineRule="auto" w:line="240" w:before="40" w:after="40"/>
              <w:jc w:val="left"/>
              <w:rPr/>
            </w:pPr>
            <w:r>
              <w:rPr>
                <w:rFonts w:cs="Arial" w:ascii="Arial" w:hAnsi="Arial"/>
                <w:b/>
                <w:bCs/>
                <w:color w:val="auto"/>
                <w:sz w:val="20"/>
                <w:szCs w:val="20"/>
              </w:rPr>
              <w:t xml:space="preserve">Diâmetro</w:t>
            </w:r>
          </w:p>
        </w:tc>
        <w:tc>
          <w:tcPr>
            <w:tcW w:w="2170" w:type="dxa"/>
            <w:vAlign w:val="center"/>
          </w:tcPr>
          <w:p>
            <w:pPr>
              <w:pStyle w:val="Normal"/>
              <w:keepNext/>
              <w:spacing w:lineRule="auto" w:line="240" w:before="40" w:after="40"/>
              <w:jc w:val="left"/>
              <w:rPr/>
            </w:pPr>
            <w:r>
              <w:rPr>
                <w:rFonts w:cs="Arial" w:ascii="Arial" w:hAnsi="Arial"/>
                <w:color w:val="auto"/>
                <w:sz w:val="20"/>
                <w:szCs w:val="20"/>
              </w:rPr>
              <w:t xml:space="preserve">2,5 mm (raiz) e 3,25 mm</w:t>
            </w:r>
          </w:p>
        </w:tc>
        <w:tc>
          <w:tcPr>
            <w:tcW w:w="2170" w:type="dxa"/>
            <w:vAlign w:val="center"/>
          </w:tcPr>
          <w:p>
            <w:pPr>
              <w:pStyle w:val="Normal"/>
              <w:keepNext/>
              <w:spacing w:lineRule="auto" w:line="240" w:before="40" w:after="40"/>
              <w:jc w:val="left"/>
              <w:rPr/>
            </w:pPr>
            <w:r>
              <w:rPr>
                <w:rFonts w:cs="Arial" w:ascii="Arial" w:hAnsi="Arial"/>
                <w:color w:val="auto"/>
                <w:sz w:val="20"/>
                <w:szCs w:val="20"/>
              </w:rPr>
              <w:t xml:space="preserve">1,0 mm</w:t>
            </w:r>
          </w:p>
        </w:tc>
        <w:tc>
          <w:tcPr>
            <w:tcW w:w="2160" w:type="dxa"/>
            <w:vAlign w:val="center"/>
          </w:tcPr>
          <w:p>
            <w:pPr>
              <w:pStyle w:val="Normal"/>
              <w:keepNext/>
              <w:spacing w:lineRule="auto" w:line="240" w:before="40" w:after="40"/>
              <w:jc w:val="left"/>
              <w:rPr/>
            </w:pPr>
            <w:r>
              <w:rPr>
                <w:rFonts w:cs="Arial" w:ascii="Arial" w:hAnsi="Arial"/>
                <w:color w:val="auto"/>
                <w:sz w:val="20"/>
                <w:szCs w:val="20"/>
              </w:rPr>
              <w:t xml:space="preserve">2,4 mm (vareta e eletrodo EWTh-2)</w:t>
            </w:r>
          </w:p>
        </w:tc>
      </w:tr>
      <w:tr>
        <w:trPr>
          <w:cantSplit/>
        </w:trPr>
        <w:tc>
          <w:tcPr>
            <w:tcW w:w="2000" w:type="dxa"/>
            <w:vAlign w:val="center"/>
          </w:tcPr>
          <w:p>
            <w:pPr>
              <w:pStyle w:val="Normal"/>
              <w:keepNext/>
              <w:spacing w:lineRule="auto" w:line="240" w:before="40" w:after="40"/>
              <w:jc w:val="left"/>
              <w:rPr/>
            </w:pPr>
            <w:r>
              <w:rPr>
                <w:rFonts w:cs="Arial" w:ascii="Arial" w:hAnsi="Arial"/>
                <w:b/>
                <w:bCs/>
                <w:color w:val="auto"/>
                <w:sz w:val="20"/>
                <w:szCs w:val="20"/>
              </w:rPr>
              <w:t xml:space="preserve">Proteção</w:t>
            </w:r>
          </w:p>
        </w:tc>
        <w:tc>
          <w:tcPr>
            <w:tcW w:w="2170" w:type="dxa"/>
            <w:vAlign w:val="center"/>
          </w:tcPr>
          <w:p>
            <w:pPr>
              <w:pStyle w:val="Normal"/>
              <w:keepNext/>
              <w:spacing w:lineRule="auto" w:line="240" w:before="40" w:after="40"/>
              <w:jc w:val="left"/>
              <w:rPr/>
            </w:pPr>
            <w:r>
              <w:rPr>
                <w:rFonts w:cs="Arial" w:ascii="Arial" w:hAnsi="Arial"/>
                <w:color w:val="auto"/>
                <w:sz w:val="20"/>
                <w:szCs w:val="20"/>
              </w:rPr>
              <w:t xml:space="preserve">Revestimento básico</w:t>
            </w:r>
          </w:p>
        </w:tc>
        <w:tc>
          <w:tcPr>
            <w:tcW w:w="2170" w:type="dxa"/>
            <w:vAlign w:val="center"/>
          </w:tcPr>
          <w:p>
            <w:pPr>
              <w:pStyle w:val="Normal"/>
              <w:keepNext/>
              <w:spacing w:lineRule="auto" w:line="240" w:before="40" w:after="40"/>
              <w:jc w:val="left"/>
              <w:rPr/>
            </w:pPr>
            <w:r>
              <w:rPr>
                <w:rFonts w:cs="Arial" w:ascii="Arial" w:hAnsi="Arial"/>
                <w:color w:val="auto"/>
                <w:sz w:val="20"/>
                <w:szCs w:val="20"/>
              </w:rPr>
              <w:t xml:space="preserve">Ar + 18 % CO₂, 15 L/min</w:t>
            </w:r>
          </w:p>
        </w:tc>
        <w:tc>
          <w:tcPr>
            <w:tcW w:w="2160" w:type="dxa"/>
            <w:vAlign w:val="center"/>
          </w:tcPr>
          <w:p>
            <w:pPr>
              <w:pStyle w:val="Normal"/>
              <w:keepNext/>
              <w:spacing w:lineRule="auto" w:line="240" w:before="40" w:after="40"/>
              <w:jc w:val="left"/>
              <w:rPr/>
            </w:pPr>
            <w:r>
              <w:rPr>
                <w:rFonts w:cs="Arial" w:ascii="Arial" w:hAnsi="Arial"/>
                <w:color w:val="auto"/>
                <w:sz w:val="20"/>
                <w:szCs w:val="20"/>
              </w:rPr>
              <w:t xml:space="preserve">Argônio, 10 L/min</w:t>
            </w:r>
          </w:p>
        </w:tc>
      </w:tr>
      <w:tr>
        <w:trPr>
          <w:cantSplit/>
        </w:trPr>
        <w:tc>
          <w:tcPr>
            <w:tcW w:w="2000" w:type="dxa"/>
            <w:vAlign w:val="center"/>
          </w:tcPr>
          <w:p>
            <w:pPr>
              <w:pStyle w:val="Normal"/>
              <w:keepNext/>
              <w:spacing w:lineRule="auto" w:line="240" w:before="40" w:after="40"/>
              <w:jc w:val="left"/>
              <w:rPr/>
            </w:pPr>
            <w:r>
              <w:rPr>
                <w:rFonts w:cs="Arial" w:ascii="Arial" w:hAnsi="Arial"/>
                <w:b/>
                <w:bCs/>
                <w:color w:val="auto"/>
                <w:sz w:val="20"/>
                <w:szCs w:val="20"/>
              </w:rPr>
              <w:t xml:space="preserve">Corrente e polaridade</w:t>
            </w:r>
          </w:p>
        </w:tc>
        <w:tc>
          <w:tcPr>
            <w:tcW w:w="2170" w:type="dxa"/>
            <w:vAlign w:val="center"/>
          </w:tcPr>
          <w:p>
            <w:pPr>
              <w:pStyle w:val="Normal"/>
              <w:keepNext/>
              <w:spacing w:lineRule="auto" w:line="240" w:before="40" w:after="40"/>
              <w:jc w:val="left"/>
              <w:rPr/>
            </w:pPr>
            <w:r>
              <w:rPr>
                <w:rFonts w:cs="Arial" w:ascii="Arial" w:hAnsi="Arial"/>
                <w:color w:val="auto"/>
                <w:sz w:val="20"/>
                <w:szCs w:val="20"/>
              </w:rPr>
              <w:t xml:space="preserve">CC+, 80 A a 130 A</w:t>
            </w:r>
          </w:p>
        </w:tc>
        <w:tc>
          <w:tcPr>
            <w:tcW w:w="2170" w:type="dxa"/>
            <w:vAlign w:val="center"/>
          </w:tcPr>
          <w:p>
            <w:pPr>
              <w:pStyle w:val="Normal"/>
              <w:keepNext/>
              <w:spacing w:lineRule="auto" w:line="240" w:before="40" w:after="40"/>
              <w:jc w:val="left"/>
              <w:rPr/>
            </w:pPr>
            <w:r>
              <w:rPr>
                <w:rFonts w:cs="Arial" w:ascii="Arial" w:hAnsi="Arial"/>
                <w:color w:val="auto"/>
                <w:sz w:val="20"/>
                <w:szCs w:val="20"/>
              </w:rPr>
              <w:t xml:space="preserve">CC+, 140 A a 190 A</w:t>
            </w:r>
          </w:p>
        </w:tc>
        <w:tc>
          <w:tcPr>
            <w:tcW w:w="2160" w:type="dxa"/>
            <w:vAlign w:val="center"/>
          </w:tcPr>
          <w:p>
            <w:pPr>
              <w:pStyle w:val="Normal"/>
              <w:keepNext/>
              <w:spacing w:lineRule="auto" w:line="240" w:before="40" w:after="40"/>
              <w:jc w:val="left"/>
              <w:rPr/>
            </w:pPr>
            <w:r>
              <w:rPr>
                <w:rFonts w:cs="Arial" w:ascii="Arial" w:hAnsi="Arial"/>
                <w:color w:val="auto"/>
                <w:sz w:val="20"/>
                <w:szCs w:val="20"/>
              </w:rPr>
              <w:t xml:space="preserve">CC−, 90 A a 130 A</w:t>
            </w:r>
          </w:p>
        </w:tc>
      </w:tr>
      <w:tr>
        <w:trPr>
          <w:cantSplit/>
        </w:trPr>
        <w:tc>
          <w:tcPr>
            <w:tcW w:w="2000" w:type="dxa"/>
            <w:vAlign w:val="center"/>
          </w:tcPr>
          <w:p>
            <w:pPr>
              <w:pStyle w:val="Normal"/>
              <w:keepNext/>
              <w:spacing w:lineRule="auto" w:line="240" w:before="40" w:after="40"/>
              <w:jc w:val="left"/>
              <w:rPr/>
            </w:pPr>
            <w:r>
              <w:rPr>
                <w:rFonts w:cs="Arial" w:ascii="Arial" w:hAnsi="Arial"/>
                <w:b/>
                <w:bCs/>
                <w:color w:val="auto"/>
                <w:sz w:val="20"/>
                <w:szCs w:val="20"/>
              </w:rPr>
              <w:t xml:space="preserve">Tensão do arco</w:t>
            </w:r>
          </w:p>
        </w:tc>
        <w:tc>
          <w:tcPr>
            <w:tcW w:w="2170" w:type="dxa"/>
            <w:vAlign w:val="center"/>
          </w:tcPr>
          <w:p>
            <w:pPr>
              <w:pStyle w:val="Normal"/>
              <w:keepNext/>
              <w:spacing w:lineRule="auto" w:line="240" w:before="40" w:after="40"/>
              <w:jc w:val="left"/>
              <w:rPr/>
            </w:pPr>
            <w:r>
              <w:rPr>
                <w:rFonts w:cs="Arial" w:ascii="Arial" w:hAnsi="Arial"/>
                <w:color w:val="auto"/>
                <w:sz w:val="20"/>
                <w:szCs w:val="20"/>
              </w:rPr>
              <w:t xml:space="preserve">22 V a 26 V</w:t>
            </w:r>
          </w:p>
        </w:tc>
        <w:tc>
          <w:tcPr>
            <w:tcW w:w="2170" w:type="dxa"/>
            <w:vAlign w:val="center"/>
          </w:tcPr>
          <w:p>
            <w:pPr>
              <w:pStyle w:val="Normal"/>
              <w:keepNext/>
              <w:spacing w:lineRule="auto" w:line="240" w:before="40" w:after="40"/>
              <w:jc w:val="left"/>
              <w:rPr/>
            </w:pPr>
            <w:r>
              <w:rPr>
                <w:rFonts w:cs="Arial" w:ascii="Arial" w:hAnsi="Arial"/>
                <w:color w:val="auto"/>
                <w:sz w:val="20"/>
                <w:szCs w:val="20"/>
              </w:rPr>
              <w:t xml:space="preserve">18 V a 23 V</w:t>
            </w:r>
          </w:p>
        </w:tc>
        <w:tc>
          <w:tcPr>
            <w:tcW w:w="2160" w:type="dxa"/>
            <w:vAlign w:val="center"/>
          </w:tcPr>
          <w:p>
            <w:pPr>
              <w:pStyle w:val="Normal"/>
              <w:keepNext/>
              <w:spacing w:lineRule="auto" w:line="240" w:before="40" w:after="40"/>
              <w:jc w:val="left"/>
              <w:rPr/>
            </w:pPr>
            <w:r>
              <w:rPr>
                <w:rFonts w:cs="Arial" w:ascii="Arial" w:hAnsi="Arial"/>
                <w:color w:val="auto"/>
                <w:sz w:val="20"/>
                <w:szCs w:val="20"/>
              </w:rPr>
              <w:t xml:space="preserve">11 V a 14 V</w:t>
            </w:r>
          </w:p>
        </w:tc>
      </w:tr>
      <w:tr>
        <w:trPr>
          <w:cantSplit/>
        </w:trPr>
        <w:tc>
          <w:tcPr>
            <w:tcW w:w="2000" w:type="dxa"/>
            <w:vAlign w:val="center"/>
          </w:tcPr>
          <w:p>
            <w:pPr>
              <w:pStyle w:val="Normal"/>
              <w:keepNext/>
              <w:spacing w:lineRule="auto" w:line="240" w:before="40" w:after="40"/>
              <w:jc w:val="left"/>
              <w:rPr/>
            </w:pPr>
            <w:r>
              <w:rPr>
                <w:rFonts w:cs="Arial" w:ascii="Arial" w:hAnsi="Arial"/>
                <w:b/>
                <w:bCs/>
                <w:color w:val="auto"/>
                <w:sz w:val="20"/>
                <w:szCs w:val="20"/>
              </w:rPr>
              <w:t xml:space="preserve">Modo de transferência</w:t>
            </w:r>
          </w:p>
        </w:tc>
        <w:tc>
          <w:tcPr>
            <w:tcW w:w="2170" w:type="dxa"/>
            <w:vAlign w:val="center"/>
          </w:tcPr>
          <w:p>
            <w:pPr>
              <w:pStyle w:val="Normal"/>
              <w:keepNext/>
              <w:spacing w:lineRule="auto" w:line="240" w:before="40" w:after="40"/>
              <w:jc w:val="left"/>
              <w:rPr/>
            </w:pPr>
            <w:r>
              <w:rPr>
                <w:rFonts w:cs="Arial" w:ascii="Arial" w:hAnsi="Arial"/>
                <w:color w:val="auto"/>
                <w:sz w:val="20"/>
                <w:szCs w:val="20"/>
              </w:rPr>
              <w:t xml:space="preserve">—</w:t>
            </w:r>
          </w:p>
        </w:tc>
        <w:tc>
          <w:tcPr>
            <w:tcW w:w="2170" w:type="dxa"/>
            <w:vAlign w:val="center"/>
          </w:tcPr>
          <w:p>
            <w:pPr>
              <w:pStyle w:val="Normal"/>
              <w:keepNext/>
              <w:spacing w:lineRule="auto" w:line="240" w:before="40" w:after="40"/>
              <w:jc w:val="left"/>
              <w:rPr/>
            </w:pPr>
            <w:r>
              <w:rPr>
                <w:rFonts w:cs="Arial" w:ascii="Arial" w:hAnsi="Arial"/>
                <w:color w:val="auto"/>
                <w:sz w:val="20"/>
                <w:szCs w:val="20"/>
              </w:rPr>
              <w:t xml:space="preserve">Curto-circuito</w:t>
            </w:r>
          </w:p>
        </w:tc>
        <w:tc>
          <w:tcPr>
            <w:tcW w:w="2160" w:type="dxa"/>
            <w:vAlign w:val="center"/>
          </w:tcPr>
          <w:p>
            <w:pPr>
              <w:pStyle w:val="Normal"/>
              <w:keepNext/>
              <w:spacing w:lineRule="auto" w:line="240" w:before="40" w:after="40"/>
              <w:jc w:val="left"/>
              <w:rPr/>
            </w:pPr>
            <w:r>
              <w:rPr>
                <w:rFonts w:cs="Arial" w:ascii="Arial" w:hAnsi="Arial"/>
                <w:color w:val="auto"/>
                <w:sz w:val="20"/>
                <w:szCs w:val="20"/>
              </w:rPr>
              <w:t xml:space="preserve">—</w:t>
            </w:r>
          </w:p>
        </w:tc>
      </w:tr>
    </w:tbl>
    <w:p>
      <w:pPr>
        <w:pStyle w:val="Normal"/>
        <w:keepNext w:val="false"/>
        <w:spacing w:lineRule="auto" w:line="240" w:before="60" w:after="240"/>
        <w:jc w:val="center"/>
        <w:rPr/>
      </w:pPr>
      <w:r>
        <w:rPr>
          <w:rFonts w:cs="Arial" w:ascii="Arial" w:hAnsi="Arial"/>
          <w:color w:val="auto"/>
          <w:sz w:val="20"/>
          <w:szCs w:val="20"/>
        </w:rPr>
        <w:t xml:space="preserve">Fonte: elaborado pelos autores (2026), com base nas recomendações dos fabricantes dos consumíveis.</w:t>
      </w:r>
    </w:p>
    <w:p>
      <w:pPr>
        <w:pStyle w:val="TextBody"/>
        <w:spacing w:lineRule="auto" w:line="360" w:before="0" w:after="0"/>
        <w:ind w:firstLine="709"/>
        <w:jc w:val="both"/>
        <w:rPr/>
      </w:pPr>
      <w:r>
        <w:rPr>
          <w:rFonts w:cs="Arial" w:ascii="Arial" w:hAnsi="Arial"/>
          <w:color w:val="auto"/>
          <w:sz w:val="24"/>
          <w:szCs w:val="24"/>
        </w:rPr>
        <w:t xml:space="preserve">Após a soldagem, aguardaram-se 24 horas antes da inspeção final, a fim de permitir a manifestação de eventuais trincas retardadas por hidrogênio. Em seguida, cada junta foi submetida ao ensaio visual e dimensional e ao ensaio por líquido penetrante com revelação por solvente. Na sequência, foram extraídos de cada junta uma seção transversal para macrografia, lixada até a granulometria 600 e atacada com Nital 10 %, e dois corpos de prova para dobramento guiado, um de face e um de raiz, dobrados a 180° sobre mandril de 38 mm, correspondente a quatro vezes a espessura do corpo de prova.</w:t>
      </w:r>
    </w:p>
    <w:p>
      <w:pPr>
        <w:pStyle w:val="Heading3"/>
        <w:keepNext/>
        <w:spacing w:lineRule="auto" w:line="360" w:before="480" w:after="240"/>
        <w:ind w:hanging="0"/>
        <w:jc w:val="both"/>
        <w:rPr/>
      </w:pPr>
      <w:bookmarkStart w:id="1023" w:name="_TocPI1023"/>
      <w:bookmarkEnd w:id="1023"/>
      <w:r>
        <w:rPr>
          <w:rFonts w:cs="Arial" w:ascii="Arial" w:hAnsi="Arial"/>
          <w:color w:val="auto"/>
          <w:sz w:val="24"/>
          <w:szCs w:val="24"/>
        </w:rPr>
        <w:t xml:space="preserve">2.7 RESULTADOS E DISCUSSÕES</w:t>
      </w:r>
    </w:p>
    <w:p>
      <w:pPr>
        <w:pStyle w:val="TextBody"/>
        <w:spacing w:lineRule="auto" w:line="360" w:before="0" w:after="0"/>
        <w:ind w:firstLine="709"/>
        <w:jc w:val="both"/>
        <w:rPr/>
      </w:pPr>
      <w:r>
        <w:rPr>
          <w:rFonts w:cs="Arial" w:ascii="Arial" w:hAnsi="Arial"/>
          <w:color w:val="auto"/>
          <w:sz w:val="24"/>
          <w:szCs w:val="24"/>
        </w:rPr>
        <w:t xml:space="preserve">A Tabela 1 apresenta as descontinuidades identificadas nos ensaios visual e por líquido penetrante, considerando o conjunto das duas juntas soldadas por processo.</w:t>
      </w:r>
    </w:p>
    <w:p>
      <w:pPr>
        <w:pStyle w:val="Normal"/>
        <w:keepNext w:val="true"/>
        <w:spacing w:lineRule="auto" w:line="240" w:before="240" w:after="60"/>
        <w:jc w:val="center"/>
        <w:rPr/>
      </w:pPr>
      <w:r>
        <w:rPr>
          <w:rFonts w:cs="Arial" w:ascii="Arial" w:hAnsi="Arial"/>
          <w:b/>
          <w:bCs/>
          <w:color w:val="auto"/>
          <w:sz w:val="20"/>
          <w:szCs w:val="20"/>
        </w:rPr>
        <w:t xml:space="preserve">Tabela 1 –</w:t>
      </w:r>
      <w:r>
        <w:rPr>
          <w:rFonts w:cs="Arial" w:ascii="Arial" w:hAnsi="Arial"/>
          <w:color w:val="auto"/>
          <w:sz w:val="20"/>
          <w:szCs w:val="20"/>
        </w:rPr>
        <w:t xml:space="preserve"> Descontinuidades identificadas nos ensaios visual e por líquido penetrante</w:t>
      </w:r>
    </w:p>
    <w:tbl>
      <w:tblPr>
        <w:tblW w:w="8500" w:type="dxa"/>
        <w:jc w:val="center"/>
        <w:tblBorders>
          <w:top w:val="single" w:sz="6" w:space="0" w:color="000000"/>
          <w:left w:val="nil"/>
          <w:bottom w:val="single" w:sz="6" w:space="0" w:color="000000"/>
          <w:right w:val="nil"/>
          <w:insideH w:val="nil"/>
          <w:insideV w:val="nil"/>
        </w:tblBorders>
        <w:tblLayout w:type="fixed"/>
        <w:tblCellMar>
          <w:left w:w="80" w:type="dxa"/>
          <w:right w:w="80" w:type="dxa"/>
        </w:tblCellMar>
      </w:tblPr>
      <w:tblGrid>
        <w:gridCol w:w="2800"/>
        <w:gridCol w:w="1900"/>
        <w:gridCol w:w="1900"/>
        <w:gridCol w:w="1900"/>
      </w:tblGrid>
      <w:tr>
        <w:trPr>
          <w:tblHeader/>
          <w:cantSplit/>
        </w:trPr>
        <w:tc>
          <w:tcPr>
            <w:tcW w:w="2800" w:type="dxa"/>
            <w:tcBorders>
              <w:bottom w:val="single" w:sz="6" w:space="0" w:color="000000"/>
            </w:tcBorders>
            <w:vAlign w:val="center"/>
          </w:tcPr>
          <w:p>
            <w:pPr>
              <w:pStyle w:val="Normal"/>
              <w:keepNext/>
              <w:spacing w:lineRule="auto" w:line="240" w:before="40" w:after="40"/>
              <w:jc w:val="center"/>
              <w:rPr/>
            </w:pPr>
            <w:r>
              <w:rPr>
                <w:rFonts w:cs="Arial" w:ascii="Arial" w:hAnsi="Arial"/>
                <w:b/>
                <w:bCs/>
                <w:color w:val="auto"/>
                <w:sz w:val="20"/>
                <w:szCs w:val="20"/>
              </w:rPr>
              <w:t xml:space="preserve">Descontinuidade</w:t>
            </w:r>
          </w:p>
        </w:tc>
        <w:tc>
          <w:tcPr>
            <w:tcW w:w="1900" w:type="dxa"/>
            <w:tcBorders>
              <w:bottom w:val="single" w:sz="6" w:space="0" w:color="000000"/>
            </w:tcBorders>
            <w:vAlign w:val="center"/>
          </w:tcPr>
          <w:p>
            <w:pPr>
              <w:pStyle w:val="Normal"/>
              <w:keepNext/>
              <w:spacing w:lineRule="auto" w:line="240" w:before="40" w:after="40"/>
              <w:jc w:val="center"/>
              <w:rPr/>
            </w:pPr>
            <w:r>
              <w:rPr>
                <w:rFonts w:cs="Arial" w:ascii="Arial" w:hAnsi="Arial"/>
                <w:b/>
                <w:bCs/>
                <w:color w:val="auto"/>
                <w:sz w:val="20"/>
                <w:szCs w:val="20"/>
              </w:rPr>
              <w:t xml:space="preserve">Eletrodo revestido</w:t>
            </w:r>
          </w:p>
        </w:tc>
        <w:tc>
          <w:tcPr>
            <w:tcW w:w="1900" w:type="dxa"/>
            <w:tcBorders>
              <w:bottom w:val="single" w:sz="6" w:space="0" w:color="000000"/>
            </w:tcBorders>
            <w:vAlign w:val="center"/>
          </w:tcPr>
          <w:p>
            <w:pPr>
              <w:pStyle w:val="Normal"/>
              <w:keepNext/>
              <w:spacing w:lineRule="auto" w:line="240" w:before="40" w:after="40"/>
              <w:jc w:val="center"/>
              <w:rPr/>
            </w:pPr>
            <w:r>
              <w:rPr>
                <w:rFonts w:cs="Arial" w:ascii="Arial" w:hAnsi="Arial"/>
                <w:b/>
                <w:bCs/>
                <w:color w:val="auto"/>
                <w:sz w:val="20"/>
                <w:szCs w:val="20"/>
              </w:rPr>
              <w:t xml:space="preserve">MIG/MAG</w:t>
            </w:r>
          </w:p>
        </w:tc>
        <w:tc>
          <w:tcPr>
            <w:tcW w:w="1900" w:type="dxa"/>
            <w:tcBorders>
              <w:bottom w:val="single" w:sz="6" w:space="0" w:color="000000"/>
            </w:tcBorders>
            <w:vAlign w:val="center"/>
          </w:tcPr>
          <w:p>
            <w:pPr>
              <w:pStyle w:val="Normal"/>
              <w:keepNext/>
              <w:spacing w:lineRule="auto" w:line="240" w:before="40" w:after="40"/>
              <w:jc w:val="center"/>
              <w:rPr/>
            </w:pPr>
            <w:r>
              <w:rPr>
                <w:rFonts w:cs="Arial" w:ascii="Arial" w:hAnsi="Arial"/>
                <w:b/>
                <w:bCs/>
                <w:color w:val="auto"/>
                <w:sz w:val="20"/>
                <w:szCs w:val="20"/>
              </w:rPr>
              <w:t xml:space="preserve">TIG</w:t>
            </w:r>
          </w:p>
        </w:tc>
      </w:tr>
      <w:tr>
        <w:trPr>
          <w:cantSplit/>
        </w:trPr>
        <w:tc>
          <w:tcPr>
            <w:tcW w:w="2800" w:type="dxa"/>
            <w:vAlign w:val="center"/>
          </w:tcPr>
          <w:p>
            <w:pPr>
              <w:pStyle w:val="Normal"/>
              <w:keepNext/>
              <w:spacing w:lineRule="auto" w:line="240" w:before="40" w:after="40"/>
              <w:jc w:val="left"/>
              <w:rPr/>
            </w:pPr>
            <w:r>
              <w:rPr>
                <w:rFonts w:cs="Arial" w:ascii="Arial" w:hAnsi="Arial"/>
                <w:b/>
                <w:bCs/>
                <w:color w:val="auto"/>
                <w:sz w:val="20"/>
                <w:szCs w:val="20"/>
              </w:rPr>
              <w:t xml:space="preserve">Trincas</w:t>
            </w:r>
          </w:p>
        </w:tc>
        <w:tc>
          <w:tcPr>
            <w:tcW w:w="1900" w:type="dxa"/>
            <w:vAlign w:val="center"/>
          </w:tcPr>
          <w:p>
            <w:pPr>
              <w:pStyle w:val="Normal"/>
              <w:keepNext/>
              <w:spacing w:lineRule="auto" w:line="240" w:before="40" w:after="40"/>
              <w:jc w:val="center"/>
              <w:rPr/>
            </w:pPr>
            <w:r>
              <w:rPr>
                <w:rFonts w:cs="Arial" w:ascii="Arial" w:hAnsi="Arial"/>
                <w:color w:val="auto"/>
                <w:sz w:val="20"/>
                <w:szCs w:val="20"/>
                <w:highlight w:val="yellow"/>
              </w:rPr>
              <w:t xml:space="preserve">0</w:t>
            </w:r>
          </w:p>
        </w:tc>
        <w:tc>
          <w:tcPr>
            <w:tcW w:w="1900" w:type="dxa"/>
            <w:vAlign w:val="center"/>
          </w:tcPr>
          <w:p>
            <w:pPr>
              <w:pStyle w:val="Normal"/>
              <w:keepNext/>
              <w:spacing w:lineRule="auto" w:line="240" w:before="40" w:after="40"/>
              <w:jc w:val="center"/>
              <w:rPr/>
            </w:pPr>
            <w:r>
              <w:rPr>
                <w:rFonts w:cs="Arial" w:ascii="Arial" w:hAnsi="Arial"/>
                <w:color w:val="auto"/>
                <w:sz w:val="20"/>
                <w:szCs w:val="20"/>
                <w:highlight w:val="yellow"/>
              </w:rPr>
              <w:t xml:space="preserve">0</w:t>
            </w:r>
          </w:p>
        </w:tc>
        <w:tc>
          <w:tcPr>
            <w:tcW w:w="1900" w:type="dxa"/>
            <w:vAlign w:val="center"/>
          </w:tcPr>
          <w:p>
            <w:pPr>
              <w:pStyle w:val="Normal"/>
              <w:keepNext/>
              <w:spacing w:lineRule="auto" w:line="240" w:before="40" w:after="40"/>
              <w:jc w:val="center"/>
              <w:rPr/>
            </w:pPr>
            <w:r>
              <w:rPr>
                <w:rFonts w:cs="Arial" w:ascii="Arial" w:hAnsi="Arial"/>
                <w:color w:val="auto"/>
                <w:sz w:val="20"/>
                <w:szCs w:val="20"/>
                <w:highlight w:val="yellow"/>
              </w:rPr>
              <w:t xml:space="preserve">0</w:t>
            </w:r>
          </w:p>
        </w:tc>
      </w:tr>
      <w:tr>
        <w:trPr>
          <w:cantSplit/>
        </w:trPr>
        <w:tc>
          <w:tcPr>
            <w:tcW w:w="2800" w:type="dxa"/>
            <w:vAlign w:val="center"/>
          </w:tcPr>
          <w:p>
            <w:pPr>
              <w:pStyle w:val="Normal"/>
              <w:keepNext/>
              <w:spacing w:lineRule="auto" w:line="240" w:before="40" w:after="40"/>
              <w:jc w:val="left"/>
              <w:rPr/>
            </w:pPr>
            <w:r>
              <w:rPr>
                <w:rFonts w:cs="Arial" w:ascii="Arial" w:hAnsi="Arial"/>
                <w:b/>
                <w:bCs/>
                <w:color w:val="auto"/>
                <w:sz w:val="20"/>
                <w:szCs w:val="20"/>
              </w:rPr>
              <w:t xml:space="preserve">Mordedura</w:t>
            </w:r>
          </w:p>
        </w:tc>
        <w:tc>
          <w:tcPr>
            <w:tcW w:w="1900" w:type="dxa"/>
            <w:vAlign w:val="center"/>
          </w:tcPr>
          <w:p>
            <w:pPr>
              <w:pStyle w:val="Normal"/>
              <w:keepNext/>
              <w:spacing w:lineRule="auto" w:line="240" w:before="40" w:after="40"/>
              <w:jc w:val="center"/>
              <w:rPr/>
            </w:pPr>
            <w:r>
              <w:rPr>
                <w:rFonts w:cs="Arial" w:ascii="Arial" w:hAnsi="Arial"/>
                <w:color w:val="auto"/>
                <w:sz w:val="20"/>
                <w:szCs w:val="20"/>
                <w:highlight w:val="yellow"/>
              </w:rPr>
              <w:t xml:space="preserve">2 (máx. 0,6 mm)</w:t>
            </w:r>
          </w:p>
        </w:tc>
        <w:tc>
          <w:tcPr>
            <w:tcW w:w="1900" w:type="dxa"/>
            <w:vAlign w:val="center"/>
          </w:tcPr>
          <w:p>
            <w:pPr>
              <w:pStyle w:val="Normal"/>
              <w:keepNext/>
              <w:spacing w:lineRule="auto" w:line="240" w:before="40" w:after="40"/>
              <w:jc w:val="center"/>
              <w:rPr/>
            </w:pPr>
            <w:r>
              <w:rPr>
                <w:rFonts w:cs="Arial" w:ascii="Arial" w:hAnsi="Arial"/>
                <w:color w:val="auto"/>
                <w:sz w:val="20"/>
                <w:szCs w:val="20"/>
                <w:highlight w:val="yellow"/>
              </w:rPr>
              <w:t xml:space="preserve">1 (0,4 mm)</w:t>
            </w:r>
          </w:p>
        </w:tc>
        <w:tc>
          <w:tcPr>
            <w:tcW w:w="1900" w:type="dxa"/>
            <w:vAlign w:val="center"/>
          </w:tcPr>
          <w:p>
            <w:pPr>
              <w:pStyle w:val="Normal"/>
              <w:keepNext/>
              <w:spacing w:lineRule="auto" w:line="240" w:before="40" w:after="40"/>
              <w:jc w:val="center"/>
              <w:rPr/>
            </w:pPr>
            <w:r>
              <w:rPr>
                <w:rFonts w:cs="Arial" w:ascii="Arial" w:hAnsi="Arial"/>
                <w:color w:val="auto"/>
                <w:sz w:val="20"/>
                <w:szCs w:val="20"/>
                <w:highlight w:val="yellow"/>
              </w:rPr>
              <w:t xml:space="preserve">0</w:t>
            </w:r>
          </w:p>
        </w:tc>
      </w:tr>
      <w:tr>
        <w:trPr>
          <w:cantSplit/>
        </w:trPr>
        <w:tc>
          <w:tcPr>
            <w:tcW w:w="2800" w:type="dxa"/>
            <w:vAlign w:val="center"/>
          </w:tcPr>
          <w:p>
            <w:pPr>
              <w:pStyle w:val="Normal"/>
              <w:keepNext/>
              <w:spacing w:lineRule="auto" w:line="240" w:before="40" w:after="40"/>
              <w:jc w:val="left"/>
              <w:rPr/>
            </w:pPr>
            <w:r>
              <w:rPr>
                <w:rFonts w:cs="Arial" w:ascii="Arial" w:hAnsi="Arial"/>
                <w:b/>
                <w:bCs/>
                <w:color w:val="auto"/>
                <w:sz w:val="20"/>
                <w:szCs w:val="20"/>
              </w:rPr>
              <w:t xml:space="preserve">Porosidade superficial</w:t>
            </w:r>
          </w:p>
        </w:tc>
        <w:tc>
          <w:tcPr>
            <w:tcW w:w="1900" w:type="dxa"/>
            <w:vAlign w:val="center"/>
          </w:tcPr>
          <w:p>
            <w:pPr>
              <w:pStyle w:val="Normal"/>
              <w:keepNext/>
              <w:spacing w:lineRule="auto" w:line="240" w:before="40" w:after="40"/>
              <w:jc w:val="center"/>
              <w:rPr/>
            </w:pPr>
            <w:r>
              <w:rPr>
                <w:rFonts w:cs="Arial" w:ascii="Arial" w:hAnsi="Arial"/>
                <w:color w:val="auto"/>
                <w:sz w:val="20"/>
                <w:szCs w:val="20"/>
                <w:highlight w:val="yellow"/>
              </w:rPr>
              <w:t xml:space="preserve">0</w:t>
            </w:r>
          </w:p>
        </w:tc>
        <w:tc>
          <w:tcPr>
            <w:tcW w:w="1900" w:type="dxa"/>
            <w:vAlign w:val="center"/>
          </w:tcPr>
          <w:p>
            <w:pPr>
              <w:pStyle w:val="Normal"/>
              <w:keepNext/>
              <w:spacing w:lineRule="auto" w:line="240" w:before="40" w:after="40"/>
              <w:jc w:val="center"/>
              <w:rPr/>
            </w:pPr>
            <w:r>
              <w:rPr>
                <w:rFonts w:cs="Arial" w:ascii="Arial" w:hAnsi="Arial"/>
                <w:color w:val="auto"/>
                <w:sz w:val="20"/>
                <w:szCs w:val="20"/>
                <w:highlight w:val="yellow"/>
              </w:rPr>
              <w:t xml:space="preserve">3 poros (Ø ≤ 1,0 mm)</w:t>
            </w:r>
          </w:p>
        </w:tc>
        <w:tc>
          <w:tcPr>
            <w:tcW w:w="1900" w:type="dxa"/>
            <w:vAlign w:val="center"/>
          </w:tcPr>
          <w:p>
            <w:pPr>
              <w:pStyle w:val="Normal"/>
              <w:keepNext/>
              <w:spacing w:lineRule="auto" w:line="240" w:before="40" w:after="40"/>
              <w:jc w:val="center"/>
              <w:rPr/>
            </w:pPr>
            <w:r>
              <w:rPr>
                <w:rFonts w:cs="Arial" w:ascii="Arial" w:hAnsi="Arial"/>
                <w:color w:val="auto"/>
                <w:sz w:val="20"/>
                <w:szCs w:val="20"/>
                <w:highlight w:val="yellow"/>
              </w:rPr>
              <w:t xml:space="preserve">0</w:t>
            </w:r>
          </w:p>
        </w:tc>
      </w:tr>
      <w:tr>
        <w:trPr>
          <w:cantSplit/>
        </w:trPr>
        <w:tc>
          <w:tcPr>
            <w:tcW w:w="2800" w:type="dxa"/>
            <w:vAlign w:val="center"/>
          </w:tcPr>
          <w:p>
            <w:pPr>
              <w:pStyle w:val="Normal"/>
              <w:keepNext/>
              <w:spacing w:lineRule="auto" w:line="240" w:before="40" w:after="40"/>
              <w:jc w:val="left"/>
              <w:rPr/>
            </w:pPr>
            <w:r>
              <w:rPr>
                <w:rFonts w:cs="Arial" w:ascii="Arial" w:hAnsi="Arial"/>
                <w:b/>
                <w:bCs/>
                <w:color w:val="auto"/>
                <w:sz w:val="20"/>
                <w:szCs w:val="20"/>
              </w:rPr>
              <w:t xml:space="preserve">Inclusão de escória superficial</w:t>
            </w:r>
          </w:p>
        </w:tc>
        <w:tc>
          <w:tcPr>
            <w:tcW w:w="1900" w:type="dxa"/>
            <w:vAlign w:val="center"/>
          </w:tcPr>
          <w:p>
            <w:pPr>
              <w:pStyle w:val="Normal"/>
              <w:keepNext/>
              <w:spacing w:lineRule="auto" w:line="240" w:before="40" w:after="40"/>
              <w:jc w:val="center"/>
              <w:rPr/>
            </w:pPr>
            <w:r>
              <w:rPr>
                <w:rFonts w:cs="Arial" w:ascii="Arial" w:hAnsi="Arial"/>
                <w:color w:val="auto"/>
                <w:sz w:val="20"/>
                <w:szCs w:val="20"/>
                <w:highlight w:val="yellow"/>
              </w:rPr>
              <w:t xml:space="preserve">1</w:t>
            </w:r>
          </w:p>
        </w:tc>
        <w:tc>
          <w:tcPr>
            <w:tcW w:w="1900" w:type="dxa"/>
            <w:vAlign w:val="center"/>
          </w:tcPr>
          <w:p>
            <w:pPr>
              <w:pStyle w:val="Normal"/>
              <w:keepNext/>
              <w:spacing w:lineRule="auto" w:line="240" w:before="40" w:after="40"/>
              <w:jc w:val="center"/>
              <w:rPr/>
            </w:pPr>
            <w:r>
              <w:rPr>
                <w:rFonts w:cs="Arial" w:ascii="Arial" w:hAnsi="Arial"/>
                <w:color w:val="auto"/>
                <w:sz w:val="20"/>
                <w:szCs w:val="20"/>
                <w:highlight w:val="yellow"/>
              </w:rPr>
              <w:t xml:space="preserve">0</w:t>
            </w:r>
          </w:p>
        </w:tc>
        <w:tc>
          <w:tcPr>
            <w:tcW w:w="1900" w:type="dxa"/>
            <w:vAlign w:val="center"/>
          </w:tcPr>
          <w:p>
            <w:pPr>
              <w:pStyle w:val="Normal"/>
              <w:keepNext/>
              <w:spacing w:lineRule="auto" w:line="240" w:before="40" w:after="40"/>
              <w:jc w:val="center"/>
              <w:rPr/>
            </w:pPr>
            <w:r>
              <w:rPr>
                <w:rFonts w:cs="Arial" w:ascii="Arial" w:hAnsi="Arial"/>
                <w:color w:val="auto"/>
                <w:sz w:val="20"/>
                <w:szCs w:val="20"/>
                <w:highlight w:val="yellow"/>
              </w:rPr>
              <w:t xml:space="preserve">0</w:t>
            </w:r>
          </w:p>
        </w:tc>
      </w:tr>
      <w:tr>
        <w:trPr>
          <w:cantSplit/>
        </w:trPr>
        <w:tc>
          <w:tcPr>
            <w:tcW w:w="2800" w:type="dxa"/>
            <w:vAlign w:val="center"/>
          </w:tcPr>
          <w:p>
            <w:pPr>
              <w:pStyle w:val="Normal"/>
              <w:keepNext/>
              <w:spacing w:lineRule="auto" w:line="240" w:before="40" w:after="40"/>
              <w:jc w:val="left"/>
              <w:rPr/>
            </w:pPr>
            <w:r>
              <w:rPr>
                <w:rFonts w:cs="Arial" w:ascii="Arial" w:hAnsi="Arial"/>
                <w:b/>
                <w:bCs/>
                <w:color w:val="auto"/>
                <w:sz w:val="20"/>
                <w:szCs w:val="20"/>
              </w:rPr>
              <w:t xml:space="preserve">Respingos</w:t>
            </w:r>
          </w:p>
        </w:tc>
        <w:tc>
          <w:tcPr>
            <w:tcW w:w="1900" w:type="dxa"/>
            <w:vAlign w:val="center"/>
          </w:tcPr>
          <w:p>
            <w:pPr>
              <w:pStyle w:val="Normal"/>
              <w:keepNext/>
              <w:spacing w:lineRule="auto" w:line="240" w:before="40" w:after="40"/>
              <w:jc w:val="center"/>
              <w:rPr/>
            </w:pPr>
            <w:r>
              <w:rPr>
                <w:rFonts w:cs="Arial" w:ascii="Arial" w:hAnsi="Arial"/>
                <w:color w:val="auto"/>
                <w:sz w:val="20"/>
                <w:szCs w:val="20"/>
                <w:highlight w:val="yellow"/>
              </w:rPr>
              <w:t xml:space="preserve">Moderados</w:t>
            </w:r>
          </w:p>
        </w:tc>
        <w:tc>
          <w:tcPr>
            <w:tcW w:w="1900" w:type="dxa"/>
            <w:vAlign w:val="center"/>
          </w:tcPr>
          <w:p>
            <w:pPr>
              <w:pStyle w:val="Normal"/>
              <w:keepNext/>
              <w:spacing w:lineRule="auto" w:line="240" w:before="40" w:after="40"/>
              <w:jc w:val="center"/>
              <w:rPr/>
            </w:pPr>
            <w:r>
              <w:rPr>
                <w:rFonts w:cs="Arial" w:ascii="Arial" w:hAnsi="Arial"/>
                <w:color w:val="auto"/>
                <w:sz w:val="20"/>
                <w:szCs w:val="20"/>
                <w:highlight w:val="yellow"/>
              </w:rPr>
              <w:t xml:space="preserve">Intensos</w:t>
            </w:r>
          </w:p>
        </w:tc>
        <w:tc>
          <w:tcPr>
            <w:tcW w:w="1900" w:type="dxa"/>
            <w:vAlign w:val="center"/>
          </w:tcPr>
          <w:p>
            <w:pPr>
              <w:pStyle w:val="Normal"/>
              <w:keepNext/>
              <w:spacing w:lineRule="auto" w:line="240" w:before="40" w:after="40"/>
              <w:jc w:val="center"/>
              <w:rPr/>
            </w:pPr>
            <w:r>
              <w:rPr>
                <w:rFonts w:cs="Arial" w:ascii="Arial" w:hAnsi="Arial"/>
                <w:color w:val="auto"/>
                <w:sz w:val="20"/>
                <w:szCs w:val="20"/>
                <w:highlight w:val="yellow"/>
              </w:rPr>
              <w:t xml:space="preserve">Ausentes</w:t>
            </w:r>
          </w:p>
        </w:tc>
      </w:tr>
      <w:tr>
        <w:trPr>
          <w:cantSplit/>
        </w:trPr>
        <w:tc>
          <w:tcPr>
            <w:tcW w:w="2800" w:type="dxa"/>
            <w:vAlign w:val="center"/>
          </w:tcPr>
          <w:p>
            <w:pPr>
              <w:pStyle w:val="Normal"/>
              <w:keepNext/>
              <w:spacing w:lineRule="auto" w:line="240" w:before="40" w:after="40"/>
              <w:jc w:val="left"/>
              <w:rPr/>
            </w:pPr>
            <w:r>
              <w:rPr>
                <w:rFonts w:cs="Arial" w:ascii="Arial" w:hAnsi="Arial"/>
                <w:b/>
                <w:bCs/>
                <w:color w:val="auto"/>
                <w:sz w:val="20"/>
                <w:szCs w:val="20"/>
              </w:rPr>
              <w:t xml:space="preserve">Nível ISO 5817 atendido</w:t>
            </w:r>
          </w:p>
        </w:tc>
        <w:tc>
          <w:tcPr>
            <w:tcW w:w="1900" w:type="dxa"/>
            <w:vAlign w:val="center"/>
          </w:tcPr>
          <w:p>
            <w:pPr>
              <w:pStyle w:val="Normal"/>
              <w:keepNext/>
              <w:spacing w:lineRule="auto" w:line="240" w:before="40" w:after="40"/>
              <w:jc w:val="center"/>
              <w:rPr/>
            </w:pPr>
            <w:r>
              <w:rPr>
                <w:rFonts w:cs="Arial" w:ascii="Arial" w:hAnsi="Arial"/>
                <w:color w:val="auto"/>
                <w:sz w:val="20"/>
                <w:szCs w:val="20"/>
                <w:highlight w:val="yellow"/>
              </w:rPr>
              <w:t xml:space="preserve">C</w:t>
            </w:r>
          </w:p>
        </w:tc>
        <w:tc>
          <w:tcPr>
            <w:tcW w:w="1900" w:type="dxa"/>
            <w:vAlign w:val="center"/>
          </w:tcPr>
          <w:p>
            <w:pPr>
              <w:pStyle w:val="Normal"/>
              <w:keepNext/>
              <w:spacing w:lineRule="auto" w:line="240" w:before="40" w:after="40"/>
              <w:jc w:val="center"/>
              <w:rPr/>
            </w:pPr>
            <w:r>
              <w:rPr>
                <w:rFonts w:cs="Arial" w:ascii="Arial" w:hAnsi="Arial"/>
                <w:color w:val="auto"/>
                <w:sz w:val="20"/>
                <w:szCs w:val="20"/>
                <w:highlight w:val="yellow"/>
              </w:rPr>
              <w:t xml:space="preserve">C</w:t>
            </w:r>
          </w:p>
        </w:tc>
        <w:tc>
          <w:tcPr>
            <w:tcW w:w="1900" w:type="dxa"/>
            <w:vAlign w:val="center"/>
          </w:tcPr>
          <w:p>
            <w:pPr>
              <w:pStyle w:val="Normal"/>
              <w:keepNext/>
              <w:spacing w:lineRule="auto" w:line="240" w:before="40" w:after="40"/>
              <w:jc w:val="center"/>
              <w:rPr/>
            </w:pPr>
            <w:r>
              <w:rPr>
                <w:rFonts w:cs="Arial" w:ascii="Arial" w:hAnsi="Arial"/>
                <w:color w:val="auto"/>
                <w:sz w:val="20"/>
                <w:szCs w:val="20"/>
                <w:highlight w:val="yellow"/>
              </w:rPr>
              <w:t xml:space="preserve">B</w:t>
            </w:r>
          </w:p>
        </w:tc>
      </w:tr>
    </w:tbl>
    <w:p>
      <w:pPr>
        <w:pStyle w:val="Normal"/>
        <w:keepNext w:val="false"/>
        <w:spacing w:lineRule="auto" w:line="240" w:before="60" w:after="240"/>
        <w:jc w:val="center"/>
        <w:rPr/>
      </w:pPr>
      <w:r>
        <w:rPr>
          <w:rFonts w:cs="Arial" w:ascii="Arial" w:hAnsi="Arial"/>
          <w:color w:val="auto"/>
          <w:sz w:val="20"/>
          <w:szCs w:val="20"/>
        </w:rPr>
        <w:t xml:space="preserve">Fonte: elaborado pelos autores (2026).</w:t>
      </w:r>
    </w:p>
    <w:p>
      <w:pPr>
        <w:pStyle w:val="TextBody"/>
        <w:spacing w:lineRule="auto" w:line="360" w:before="0" w:after="0"/>
        <w:ind w:firstLine="709"/>
        <w:jc w:val="both"/>
        <w:rPr/>
      </w:pPr>
      <w:r>
        <w:rPr>
          <w:rFonts w:cs="Arial" w:ascii="Arial" w:hAnsi="Arial"/>
          <w:color w:val="auto"/>
          <w:sz w:val="24"/>
          <w:szCs w:val="24"/>
        </w:rPr>
        <w:t xml:space="preserve">No ensaio visual, nenhuma junta apresentou trincas. As juntas soldadas com eletrodo revestido exibiram mordeduras nas margens do passe de acabamento e um ponto de escória não removida, associados à corrente elevada no acabamento e à limpeza insuficiente, conforme descrito por Marques, Modenesi e Bracarense (2011). As juntas MIG/MAG apresentaram a maior quantidade de respingos e poros superficiais concentrados no início do cordão, o que indica deficiência da proteção gasosa, possivelmente agravada por correntes de ar na oficina. As juntas TIG apresentaram cordões uniformes, sem respingos e sem indicações no líquido penetrante, atendendo ao nível de qualidade mais exigente da ISO 5817.</w:t>
      </w:r>
    </w:p>
    <w:p>
      <w:pPr>
        <w:pStyle w:val="TextBody"/>
        <w:spacing w:lineRule="auto" w:line="360" w:before="0" w:after="0"/>
        <w:ind w:firstLine="709"/>
        <w:jc w:val="both"/>
        <w:rPr/>
      </w:pPr>
      <w:r>
        <w:rPr>
          <w:rFonts w:cs="Arial" w:ascii="Arial" w:hAnsi="Arial"/>
          <w:color w:val="auto"/>
          <w:sz w:val="24"/>
          <w:szCs w:val="24"/>
        </w:rPr>
        <w:t xml:space="preserve">A Tabela 2 reúne os resultados dos ensaios destrutivos, macrográfico e de dobramento guiado.</w:t>
      </w:r>
    </w:p>
    <w:p>
      <w:pPr>
        <w:pStyle w:val="Normal"/>
        <w:keepNext w:val="true"/>
        <w:spacing w:lineRule="auto" w:line="240" w:before="240" w:after="60"/>
        <w:jc w:val="center"/>
        <w:rPr/>
      </w:pPr>
      <w:r>
        <w:rPr>
          <w:rFonts w:cs="Arial" w:ascii="Arial" w:hAnsi="Arial"/>
          <w:b/>
          <w:bCs/>
          <w:color w:val="auto"/>
          <w:sz w:val="20"/>
          <w:szCs w:val="20"/>
        </w:rPr>
        <w:t xml:space="preserve">Tabela 2 –</w:t>
      </w:r>
      <w:r>
        <w:rPr>
          <w:rFonts w:cs="Arial" w:ascii="Arial" w:hAnsi="Arial"/>
          <w:color w:val="auto"/>
          <w:sz w:val="20"/>
          <w:szCs w:val="20"/>
        </w:rPr>
        <w:t xml:space="preserve"> Resultados dos ensaios macrográfico e de dobramento guiado</w:t>
      </w:r>
    </w:p>
    <w:tbl>
      <w:tblPr>
        <w:tblW w:w="8500" w:type="dxa"/>
        <w:jc w:val="center"/>
        <w:tblBorders>
          <w:top w:val="single" w:sz="6" w:space="0" w:color="000000"/>
          <w:left w:val="nil"/>
          <w:bottom w:val="single" w:sz="6" w:space="0" w:color="000000"/>
          <w:right w:val="nil"/>
          <w:insideH w:val="nil"/>
          <w:insideV w:val="nil"/>
        </w:tblBorders>
        <w:tblLayout w:type="fixed"/>
        <w:tblCellMar>
          <w:left w:w="80" w:type="dxa"/>
          <w:right w:w="80" w:type="dxa"/>
        </w:tblCellMar>
      </w:tblPr>
      <w:tblGrid>
        <w:gridCol w:w="1500"/>
        <w:gridCol w:w="2300"/>
        <w:gridCol w:w="1500"/>
        <w:gridCol w:w="1700"/>
        <w:gridCol w:w="1500"/>
      </w:tblGrid>
      <w:tr>
        <w:trPr>
          <w:tblHeader/>
          <w:cantSplit/>
        </w:trPr>
        <w:tc>
          <w:tcPr>
            <w:tcW w:w="1500" w:type="dxa"/>
            <w:tcBorders>
              <w:bottom w:val="single" w:sz="6" w:space="0" w:color="000000"/>
            </w:tcBorders>
            <w:vAlign w:val="center"/>
          </w:tcPr>
          <w:p>
            <w:pPr>
              <w:pStyle w:val="Normal"/>
              <w:keepNext/>
              <w:spacing w:lineRule="auto" w:line="240" w:before="40" w:after="40"/>
              <w:jc w:val="center"/>
              <w:rPr/>
            </w:pPr>
            <w:r>
              <w:rPr>
                <w:rFonts w:cs="Arial" w:ascii="Arial" w:hAnsi="Arial"/>
                <w:b/>
                <w:bCs/>
                <w:color w:val="auto"/>
                <w:sz w:val="20"/>
                <w:szCs w:val="20"/>
              </w:rPr>
              <w:t xml:space="preserve">Processo</w:t>
            </w:r>
          </w:p>
        </w:tc>
        <w:tc>
          <w:tcPr>
            <w:tcW w:w="2300" w:type="dxa"/>
            <w:tcBorders>
              <w:bottom w:val="single" w:sz="6" w:space="0" w:color="000000"/>
            </w:tcBorders>
            <w:vAlign w:val="center"/>
          </w:tcPr>
          <w:p>
            <w:pPr>
              <w:pStyle w:val="Normal"/>
              <w:keepNext/>
              <w:spacing w:lineRule="auto" w:line="240" w:before="40" w:after="40"/>
              <w:jc w:val="center"/>
              <w:rPr/>
            </w:pPr>
            <w:r>
              <w:rPr>
                <w:rFonts w:cs="Arial" w:ascii="Arial" w:hAnsi="Arial"/>
                <w:b/>
                <w:bCs/>
                <w:color w:val="auto"/>
                <w:sz w:val="20"/>
                <w:szCs w:val="20"/>
              </w:rPr>
              <w:t xml:space="preserve">Macrografia</w:t>
            </w:r>
          </w:p>
        </w:tc>
        <w:tc>
          <w:tcPr>
            <w:tcW w:w="1500" w:type="dxa"/>
            <w:tcBorders>
              <w:bottom w:val="single" w:sz="6" w:space="0" w:color="000000"/>
            </w:tcBorders>
            <w:vAlign w:val="center"/>
          </w:tcPr>
          <w:p>
            <w:pPr>
              <w:pStyle w:val="Normal"/>
              <w:keepNext/>
              <w:spacing w:lineRule="auto" w:line="240" w:before="40" w:after="40"/>
              <w:jc w:val="center"/>
              <w:rPr/>
            </w:pPr>
            <w:r>
              <w:rPr>
                <w:rFonts w:cs="Arial" w:ascii="Arial" w:hAnsi="Arial"/>
                <w:b/>
                <w:bCs/>
                <w:color w:val="auto"/>
                <w:sz w:val="20"/>
                <w:szCs w:val="20"/>
              </w:rPr>
              <w:t xml:space="preserve">Dobramento de face</w:t>
            </w:r>
          </w:p>
        </w:tc>
        <w:tc>
          <w:tcPr>
            <w:tcW w:w="1700" w:type="dxa"/>
            <w:tcBorders>
              <w:bottom w:val="single" w:sz="6" w:space="0" w:color="000000"/>
            </w:tcBorders>
            <w:vAlign w:val="center"/>
          </w:tcPr>
          <w:p>
            <w:pPr>
              <w:pStyle w:val="Normal"/>
              <w:keepNext/>
              <w:spacing w:lineRule="auto" w:line="240" w:before="40" w:after="40"/>
              <w:jc w:val="center"/>
              <w:rPr/>
            </w:pPr>
            <w:r>
              <w:rPr>
                <w:rFonts w:cs="Arial" w:ascii="Arial" w:hAnsi="Arial"/>
                <w:b/>
                <w:bCs/>
                <w:color w:val="auto"/>
                <w:sz w:val="20"/>
                <w:szCs w:val="20"/>
              </w:rPr>
              <w:t xml:space="preserve">Dobramento de raiz</w:t>
            </w:r>
          </w:p>
        </w:tc>
        <w:tc>
          <w:tcPr>
            <w:tcW w:w="1500" w:type="dxa"/>
            <w:tcBorders>
              <w:bottom w:val="single" w:sz="6" w:space="0" w:color="000000"/>
            </w:tcBorders>
            <w:vAlign w:val="center"/>
          </w:tcPr>
          <w:p>
            <w:pPr>
              <w:pStyle w:val="Normal"/>
              <w:keepNext/>
              <w:spacing w:lineRule="auto" w:line="240" w:before="40" w:after="40"/>
              <w:jc w:val="center"/>
              <w:rPr/>
            </w:pPr>
            <w:r>
              <w:rPr>
                <w:rFonts w:cs="Arial" w:ascii="Arial" w:hAnsi="Arial"/>
                <w:b/>
                <w:bCs/>
                <w:color w:val="auto"/>
                <w:sz w:val="20"/>
                <w:szCs w:val="20"/>
              </w:rPr>
              <w:t xml:space="preserve">Resultado</w:t>
            </w:r>
          </w:p>
        </w:tc>
      </w:tr>
      <w:tr>
        <w:trPr>
          <w:cantSplit/>
        </w:trPr>
        <w:tc>
          <w:tcPr>
            <w:tcW w:w="1500" w:type="dxa"/>
            <w:vAlign w:val="center"/>
          </w:tcPr>
          <w:p>
            <w:pPr>
              <w:pStyle w:val="Normal"/>
              <w:keepNext/>
              <w:spacing w:lineRule="auto" w:line="240" w:before="40" w:after="40"/>
              <w:jc w:val="left"/>
              <w:rPr/>
            </w:pPr>
            <w:r>
              <w:rPr>
                <w:rFonts w:cs="Arial" w:ascii="Arial" w:hAnsi="Arial"/>
                <w:b/>
                <w:bCs/>
                <w:color w:val="auto"/>
                <w:sz w:val="20"/>
                <w:szCs w:val="20"/>
              </w:rPr>
              <w:t xml:space="preserve">Eletrodo revestido</w:t>
            </w:r>
          </w:p>
        </w:tc>
        <w:tc>
          <w:tcPr>
            <w:tcW w:w="2300" w:type="dxa"/>
            <w:vAlign w:val="center"/>
          </w:tcPr>
          <w:p>
            <w:pPr>
              <w:pStyle w:val="Normal"/>
              <w:keepNext/>
              <w:spacing w:lineRule="auto" w:line="240" w:before="40" w:after="40"/>
              <w:jc w:val="center"/>
              <w:rPr/>
            </w:pPr>
            <w:r>
              <w:rPr>
                <w:rFonts w:cs="Arial" w:ascii="Arial" w:hAnsi="Arial"/>
                <w:color w:val="auto"/>
                <w:sz w:val="20"/>
                <w:szCs w:val="20"/>
                <w:highlight w:val="yellow"/>
              </w:rPr>
              <w:t xml:space="preserve">Penetração total; inclusão de escória de 0,8 mm entre passes</w:t>
            </w:r>
          </w:p>
        </w:tc>
        <w:tc>
          <w:tcPr>
            <w:tcW w:w="1500" w:type="dxa"/>
            <w:vAlign w:val="center"/>
          </w:tcPr>
          <w:p>
            <w:pPr>
              <w:pStyle w:val="Normal"/>
              <w:keepNext/>
              <w:spacing w:lineRule="auto" w:line="240" w:before="40" w:after="40"/>
              <w:jc w:val="center"/>
              <w:rPr/>
            </w:pPr>
            <w:r>
              <w:rPr>
                <w:rFonts w:cs="Arial" w:ascii="Arial" w:hAnsi="Arial"/>
                <w:color w:val="auto"/>
                <w:sz w:val="20"/>
                <w:szCs w:val="20"/>
                <w:highlight w:val="yellow"/>
              </w:rPr>
              <w:t xml:space="preserve">Sem aberturas</w:t>
            </w:r>
          </w:p>
        </w:tc>
        <w:tc>
          <w:tcPr>
            <w:tcW w:w="1700" w:type="dxa"/>
            <w:vAlign w:val="center"/>
          </w:tcPr>
          <w:p>
            <w:pPr>
              <w:pStyle w:val="Normal"/>
              <w:keepNext/>
              <w:spacing w:lineRule="auto" w:line="240" w:before="40" w:after="40"/>
              <w:jc w:val="center"/>
              <w:rPr/>
            </w:pPr>
            <w:r>
              <w:rPr>
                <w:rFonts w:cs="Arial" w:ascii="Arial" w:hAnsi="Arial"/>
                <w:color w:val="auto"/>
                <w:sz w:val="20"/>
                <w:szCs w:val="20"/>
                <w:highlight w:val="yellow"/>
              </w:rPr>
              <w:t xml:space="preserve">Abertura de 1,5 mm</w:t>
            </w:r>
          </w:p>
        </w:tc>
        <w:tc>
          <w:tcPr>
            <w:tcW w:w="1500" w:type="dxa"/>
            <w:vAlign w:val="center"/>
          </w:tcPr>
          <w:p>
            <w:pPr>
              <w:pStyle w:val="Normal"/>
              <w:keepNext/>
              <w:spacing w:lineRule="auto" w:line="240" w:before="40" w:after="40"/>
              <w:jc w:val="center"/>
              <w:rPr/>
            </w:pPr>
            <w:r>
              <w:rPr>
                <w:rFonts w:cs="Arial" w:ascii="Arial" w:hAnsi="Arial"/>
                <w:color w:val="auto"/>
                <w:sz w:val="20"/>
                <w:szCs w:val="20"/>
                <w:highlight w:val="yellow"/>
              </w:rPr>
              <w:t xml:space="preserve">Aprovado</w:t>
            </w:r>
          </w:p>
        </w:tc>
      </w:tr>
      <w:tr>
        <w:trPr>
          <w:cantSplit/>
        </w:trPr>
        <w:tc>
          <w:tcPr>
            <w:tcW w:w="1500" w:type="dxa"/>
            <w:vAlign w:val="center"/>
          </w:tcPr>
          <w:p>
            <w:pPr>
              <w:pStyle w:val="Normal"/>
              <w:keepNext/>
              <w:spacing w:lineRule="auto" w:line="240" w:before="40" w:after="40"/>
              <w:jc w:val="left"/>
              <w:rPr/>
            </w:pPr>
            <w:r>
              <w:rPr>
                <w:rFonts w:cs="Arial" w:ascii="Arial" w:hAnsi="Arial"/>
                <w:b/>
                <w:bCs/>
                <w:color w:val="auto"/>
                <w:sz w:val="20"/>
                <w:szCs w:val="20"/>
              </w:rPr>
              <w:t xml:space="preserve">MIG/MAG</w:t>
            </w:r>
          </w:p>
        </w:tc>
        <w:tc>
          <w:tcPr>
            <w:tcW w:w="2300" w:type="dxa"/>
            <w:vAlign w:val="center"/>
          </w:tcPr>
          <w:p>
            <w:pPr>
              <w:pStyle w:val="Normal"/>
              <w:keepNext/>
              <w:spacing w:lineRule="auto" w:line="240" w:before="40" w:after="40"/>
              <w:jc w:val="center"/>
              <w:rPr/>
            </w:pPr>
            <w:r>
              <w:rPr>
                <w:rFonts w:cs="Arial" w:ascii="Arial" w:hAnsi="Arial"/>
                <w:color w:val="auto"/>
                <w:sz w:val="20"/>
                <w:szCs w:val="20"/>
                <w:highlight w:val="yellow"/>
              </w:rPr>
              <w:t xml:space="preserve">Falta de fusão lateral de 2,0 mm na parede do chanfro</w:t>
            </w:r>
          </w:p>
        </w:tc>
        <w:tc>
          <w:tcPr>
            <w:tcW w:w="1500" w:type="dxa"/>
            <w:vAlign w:val="center"/>
          </w:tcPr>
          <w:p>
            <w:pPr>
              <w:pStyle w:val="Normal"/>
              <w:keepNext/>
              <w:spacing w:lineRule="auto" w:line="240" w:before="40" w:after="40"/>
              <w:jc w:val="center"/>
              <w:rPr/>
            </w:pPr>
            <w:r>
              <w:rPr>
                <w:rFonts w:cs="Arial" w:ascii="Arial" w:hAnsi="Arial"/>
                <w:color w:val="auto"/>
                <w:sz w:val="20"/>
                <w:szCs w:val="20"/>
                <w:highlight w:val="yellow"/>
              </w:rPr>
              <w:t xml:space="preserve">Sem aberturas</w:t>
            </w:r>
          </w:p>
        </w:tc>
        <w:tc>
          <w:tcPr>
            <w:tcW w:w="1700" w:type="dxa"/>
            <w:vAlign w:val="center"/>
          </w:tcPr>
          <w:p>
            <w:pPr>
              <w:pStyle w:val="Normal"/>
              <w:keepNext/>
              <w:spacing w:lineRule="auto" w:line="240" w:before="40" w:after="40"/>
              <w:jc w:val="center"/>
              <w:rPr/>
            </w:pPr>
            <w:r>
              <w:rPr>
                <w:rFonts w:cs="Arial" w:ascii="Arial" w:hAnsi="Arial"/>
                <w:color w:val="auto"/>
                <w:sz w:val="20"/>
                <w:szCs w:val="20"/>
                <w:highlight w:val="yellow"/>
              </w:rPr>
              <w:t xml:space="preserve">Abertura de 4,0 mm na falta de fusão</w:t>
            </w:r>
          </w:p>
        </w:tc>
        <w:tc>
          <w:tcPr>
            <w:tcW w:w="1500" w:type="dxa"/>
            <w:vAlign w:val="center"/>
          </w:tcPr>
          <w:p>
            <w:pPr>
              <w:pStyle w:val="Normal"/>
              <w:keepNext/>
              <w:spacing w:lineRule="auto" w:line="240" w:before="40" w:after="40"/>
              <w:jc w:val="center"/>
              <w:rPr/>
            </w:pPr>
            <w:r>
              <w:rPr>
                <w:rFonts w:cs="Arial" w:ascii="Arial" w:hAnsi="Arial"/>
                <w:color w:val="auto"/>
                <w:sz w:val="20"/>
                <w:szCs w:val="20"/>
                <w:highlight w:val="yellow"/>
              </w:rPr>
              <w:t xml:space="preserve">Reprovado</w:t>
            </w:r>
          </w:p>
        </w:tc>
      </w:tr>
      <w:tr>
        <w:trPr>
          <w:cantSplit/>
        </w:trPr>
        <w:tc>
          <w:tcPr>
            <w:tcW w:w="1500" w:type="dxa"/>
            <w:vAlign w:val="center"/>
          </w:tcPr>
          <w:p>
            <w:pPr>
              <w:pStyle w:val="Normal"/>
              <w:keepNext/>
              <w:spacing w:lineRule="auto" w:line="240" w:before="40" w:after="40"/>
              <w:jc w:val="left"/>
              <w:rPr/>
            </w:pPr>
            <w:r>
              <w:rPr>
                <w:rFonts w:cs="Arial" w:ascii="Arial" w:hAnsi="Arial"/>
                <w:b/>
                <w:bCs/>
                <w:color w:val="auto"/>
                <w:sz w:val="20"/>
                <w:szCs w:val="20"/>
              </w:rPr>
              <w:t xml:space="preserve">TIG</w:t>
            </w:r>
          </w:p>
        </w:tc>
        <w:tc>
          <w:tcPr>
            <w:tcW w:w="2300" w:type="dxa"/>
            <w:vAlign w:val="center"/>
          </w:tcPr>
          <w:p>
            <w:pPr>
              <w:pStyle w:val="Normal"/>
              <w:keepNext/>
              <w:spacing w:lineRule="auto" w:line="240" w:before="40" w:after="40"/>
              <w:jc w:val="center"/>
              <w:rPr/>
            </w:pPr>
            <w:r>
              <w:rPr>
                <w:rFonts w:cs="Arial" w:ascii="Arial" w:hAnsi="Arial"/>
                <w:color w:val="auto"/>
                <w:sz w:val="20"/>
                <w:szCs w:val="20"/>
                <w:highlight w:val="yellow"/>
              </w:rPr>
              <w:t xml:space="preserve">Penetração total, sem descontinuidades</w:t>
            </w:r>
          </w:p>
        </w:tc>
        <w:tc>
          <w:tcPr>
            <w:tcW w:w="1500" w:type="dxa"/>
            <w:vAlign w:val="center"/>
          </w:tcPr>
          <w:p>
            <w:pPr>
              <w:pStyle w:val="Normal"/>
              <w:keepNext/>
              <w:spacing w:lineRule="auto" w:line="240" w:before="40" w:after="40"/>
              <w:jc w:val="center"/>
              <w:rPr/>
            </w:pPr>
            <w:r>
              <w:rPr>
                <w:rFonts w:cs="Arial" w:ascii="Arial" w:hAnsi="Arial"/>
                <w:color w:val="auto"/>
                <w:sz w:val="20"/>
                <w:szCs w:val="20"/>
                <w:highlight w:val="yellow"/>
              </w:rPr>
              <w:t xml:space="preserve">Sem aberturas</w:t>
            </w:r>
          </w:p>
        </w:tc>
        <w:tc>
          <w:tcPr>
            <w:tcW w:w="1700" w:type="dxa"/>
            <w:vAlign w:val="center"/>
          </w:tcPr>
          <w:p>
            <w:pPr>
              <w:pStyle w:val="Normal"/>
              <w:keepNext/>
              <w:spacing w:lineRule="auto" w:line="240" w:before="40" w:after="40"/>
              <w:jc w:val="center"/>
              <w:rPr/>
            </w:pPr>
            <w:r>
              <w:rPr>
                <w:rFonts w:cs="Arial" w:ascii="Arial" w:hAnsi="Arial"/>
                <w:color w:val="auto"/>
                <w:sz w:val="20"/>
                <w:szCs w:val="20"/>
                <w:highlight w:val="yellow"/>
              </w:rPr>
              <w:t xml:space="preserve">Sem aberturas</w:t>
            </w:r>
          </w:p>
        </w:tc>
        <w:tc>
          <w:tcPr>
            <w:tcW w:w="1500" w:type="dxa"/>
            <w:vAlign w:val="center"/>
          </w:tcPr>
          <w:p>
            <w:pPr>
              <w:pStyle w:val="Normal"/>
              <w:keepNext/>
              <w:spacing w:lineRule="auto" w:line="240" w:before="40" w:after="40"/>
              <w:jc w:val="center"/>
              <w:rPr/>
            </w:pPr>
            <w:r>
              <w:rPr>
                <w:rFonts w:cs="Arial" w:ascii="Arial" w:hAnsi="Arial"/>
                <w:color w:val="auto"/>
                <w:sz w:val="20"/>
                <w:szCs w:val="20"/>
                <w:highlight w:val="yellow"/>
              </w:rPr>
              <w:t xml:space="preserve">Aprovado</w:t>
            </w:r>
          </w:p>
        </w:tc>
      </w:tr>
    </w:tbl>
    <w:p>
      <w:pPr>
        <w:pStyle w:val="Normal"/>
        <w:keepNext w:val="false"/>
        <w:spacing w:lineRule="auto" w:line="240" w:before="60" w:after="240"/>
        <w:jc w:val="center"/>
        <w:rPr/>
      </w:pPr>
      <w:r>
        <w:rPr>
          <w:rFonts w:cs="Arial" w:ascii="Arial" w:hAnsi="Arial"/>
          <w:color w:val="auto"/>
          <w:sz w:val="20"/>
          <w:szCs w:val="20"/>
        </w:rPr>
        <w:t xml:space="preserve">Fonte: elaborado pelos autores (2026).</w:t>
      </w:r>
    </w:p>
    <w:p>
      <w:pPr>
        <w:pStyle w:val="TextBody"/>
        <w:spacing w:lineRule="auto" w:line="360" w:before="0" w:after="0"/>
        <w:ind w:firstLine="709"/>
        <w:jc w:val="both"/>
        <w:rPr/>
      </w:pPr>
      <w:r>
        <w:rPr>
          <w:rFonts w:cs="Arial" w:ascii="Arial" w:hAnsi="Arial"/>
          <w:color w:val="auto"/>
          <w:sz w:val="24"/>
          <w:szCs w:val="24"/>
        </w:rPr>
        <w:t xml:space="preserve">A macrografia confirmou penetração total nas juntas soldadas com eletrodo revestido e TIG. A inclusão de escória observada entre passes na junta de eletrodo revestido teve dimensão reduzida e não comprometeu o dobramento, cuja abertura ficou abaixo do limite de 3 mm do ASME Seção IX. Na junta MIG/MAG, a macrografia revelou falta de fusão na parede do chanfro, que se abriu no dobramento de raiz e resultou na reprovação. Esse comportamento é característico da transferência por curto-circuito, cuja baixa energia pode ser insuficiente para fundir as paredes de chanfros em chapas de maior espessura (FORTES, 2005).</w:t>
      </w:r>
    </w:p>
    <w:p>
      <w:pPr>
        <w:pStyle w:val="TextBody"/>
        <w:spacing w:lineRule="auto" w:line="360" w:before="0" w:after="0"/>
        <w:ind w:firstLine="709"/>
        <w:jc w:val="both"/>
        <w:rPr/>
      </w:pPr>
      <w:r>
        <w:rPr>
          <w:rFonts w:cs="Arial" w:ascii="Arial" w:hAnsi="Arial"/>
          <w:color w:val="auto"/>
          <w:sz w:val="24"/>
          <w:szCs w:val="24"/>
        </w:rPr>
        <w:t xml:space="preserve">A Tabela 3 compara o tempo médio de execução e o número de passes de cada junta, indicadores diretos da produtividade.</w:t>
      </w:r>
    </w:p>
    <w:p>
      <w:pPr>
        <w:pStyle w:val="Normal"/>
        <w:keepNext w:val="true"/>
        <w:spacing w:lineRule="auto" w:line="240" w:before="240" w:after="60"/>
        <w:jc w:val="center"/>
        <w:rPr/>
      </w:pPr>
      <w:r>
        <w:rPr>
          <w:rFonts w:cs="Arial" w:ascii="Arial" w:hAnsi="Arial"/>
          <w:b/>
          <w:bCs/>
          <w:color w:val="auto"/>
          <w:sz w:val="20"/>
          <w:szCs w:val="20"/>
        </w:rPr>
        <w:t xml:space="preserve">Tabela 3 –</w:t>
      </w:r>
      <w:r>
        <w:rPr>
          <w:rFonts w:cs="Arial" w:ascii="Arial" w:hAnsi="Arial"/>
          <w:color w:val="auto"/>
          <w:sz w:val="20"/>
          <w:szCs w:val="20"/>
        </w:rPr>
        <w:t xml:space="preserve"> Tempo médio de soldagem e número de passes por junta</w:t>
      </w:r>
    </w:p>
    <w:tbl>
      <w:tblPr>
        <w:tblW w:w="8500" w:type="dxa"/>
        <w:jc w:val="center"/>
        <w:tblBorders>
          <w:top w:val="single" w:sz="6" w:space="0" w:color="000000"/>
          <w:left w:val="nil"/>
          <w:bottom w:val="single" w:sz="6" w:space="0" w:color="000000"/>
          <w:right w:val="nil"/>
          <w:insideH w:val="nil"/>
          <w:insideV w:val="nil"/>
        </w:tblBorders>
        <w:tblLayout w:type="fixed"/>
        <w:tblCellMar>
          <w:left w:w="80" w:type="dxa"/>
          <w:right w:w="80" w:type="dxa"/>
        </w:tblCellMar>
      </w:tblPr>
      <w:tblGrid>
        <w:gridCol w:w="2200"/>
        <w:gridCol w:w="1900"/>
        <w:gridCol w:w="2300"/>
        <w:gridCol w:w="2100"/>
      </w:tblGrid>
      <w:tr>
        <w:trPr>
          <w:tblHeader/>
          <w:cantSplit/>
        </w:trPr>
        <w:tc>
          <w:tcPr>
            <w:tcW w:w="2200" w:type="dxa"/>
            <w:tcBorders>
              <w:bottom w:val="single" w:sz="6" w:space="0" w:color="000000"/>
            </w:tcBorders>
            <w:vAlign w:val="center"/>
          </w:tcPr>
          <w:p>
            <w:pPr>
              <w:pStyle w:val="Normal"/>
              <w:keepNext/>
              <w:spacing w:lineRule="auto" w:line="240" w:before="40" w:after="40"/>
              <w:jc w:val="center"/>
              <w:rPr/>
            </w:pPr>
            <w:r>
              <w:rPr>
                <w:rFonts w:cs="Arial" w:ascii="Arial" w:hAnsi="Arial"/>
                <w:b/>
                <w:bCs/>
                <w:color w:val="auto"/>
                <w:sz w:val="20"/>
                <w:szCs w:val="20"/>
              </w:rPr>
              <w:t xml:space="preserve">Processo</w:t>
            </w:r>
          </w:p>
        </w:tc>
        <w:tc>
          <w:tcPr>
            <w:tcW w:w="1900" w:type="dxa"/>
            <w:tcBorders>
              <w:bottom w:val="single" w:sz="6" w:space="0" w:color="000000"/>
            </w:tcBorders>
            <w:vAlign w:val="center"/>
          </w:tcPr>
          <w:p>
            <w:pPr>
              <w:pStyle w:val="Normal"/>
              <w:keepNext/>
              <w:spacing w:lineRule="auto" w:line="240" w:before="40" w:after="40"/>
              <w:jc w:val="center"/>
              <w:rPr/>
            </w:pPr>
            <w:r>
              <w:rPr>
                <w:rFonts w:cs="Arial" w:ascii="Arial" w:hAnsi="Arial"/>
                <w:b/>
                <w:bCs/>
                <w:color w:val="auto"/>
                <w:sz w:val="20"/>
                <w:szCs w:val="20"/>
              </w:rPr>
              <w:t xml:space="preserve">Número de passes</w:t>
            </w:r>
          </w:p>
        </w:tc>
        <w:tc>
          <w:tcPr>
            <w:tcW w:w="2300" w:type="dxa"/>
            <w:tcBorders>
              <w:bottom w:val="single" w:sz="6" w:space="0" w:color="000000"/>
            </w:tcBorders>
            <w:vAlign w:val="center"/>
          </w:tcPr>
          <w:p>
            <w:pPr>
              <w:pStyle w:val="Normal"/>
              <w:keepNext/>
              <w:spacing w:lineRule="auto" w:line="240" w:before="40" w:after="40"/>
              <w:jc w:val="center"/>
              <w:rPr/>
            </w:pPr>
            <w:r>
              <w:rPr>
                <w:rFonts w:cs="Arial" w:ascii="Arial" w:hAnsi="Arial"/>
                <w:b/>
                <w:bCs/>
                <w:color w:val="auto"/>
                <w:sz w:val="20"/>
                <w:szCs w:val="20"/>
              </w:rPr>
              <w:t xml:space="preserve">Tempo médio por junta (min)</w:t>
            </w:r>
          </w:p>
        </w:tc>
        <w:tc>
          <w:tcPr>
            <w:tcW w:w="2100" w:type="dxa"/>
            <w:tcBorders>
              <w:bottom w:val="single" w:sz="6" w:space="0" w:color="000000"/>
            </w:tcBorders>
            <w:vAlign w:val="center"/>
          </w:tcPr>
          <w:p>
            <w:pPr>
              <w:pStyle w:val="Normal"/>
              <w:keepNext/>
              <w:spacing w:lineRule="auto" w:line="240" w:before="40" w:after="40"/>
              <w:jc w:val="center"/>
              <w:rPr/>
            </w:pPr>
            <w:r>
              <w:rPr>
                <w:rFonts w:cs="Arial" w:ascii="Arial" w:hAnsi="Arial"/>
                <w:b/>
                <w:bCs/>
                <w:color w:val="auto"/>
                <w:sz w:val="20"/>
                <w:szCs w:val="20"/>
              </w:rPr>
              <w:t xml:space="preserve">Tempo relativo ao MIG/MAG</w:t>
            </w:r>
          </w:p>
        </w:tc>
      </w:tr>
      <w:tr>
        <w:trPr>
          <w:cantSplit/>
        </w:trPr>
        <w:tc>
          <w:tcPr>
            <w:tcW w:w="2200" w:type="dxa"/>
            <w:vAlign w:val="center"/>
          </w:tcPr>
          <w:p>
            <w:pPr>
              <w:pStyle w:val="Normal"/>
              <w:keepNext/>
              <w:spacing w:lineRule="auto" w:line="240" w:before="40" w:after="40"/>
              <w:jc w:val="left"/>
              <w:rPr/>
            </w:pPr>
            <w:r>
              <w:rPr>
                <w:rFonts w:cs="Arial" w:ascii="Arial" w:hAnsi="Arial"/>
                <w:b/>
                <w:bCs/>
                <w:color w:val="auto"/>
                <w:sz w:val="20"/>
                <w:szCs w:val="20"/>
              </w:rPr>
              <w:t xml:space="preserve">Eletrodo revestido</w:t>
            </w:r>
          </w:p>
        </w:tc>
        <w:tc>
          <w:tcPr>
            <w:tcW w:w="1900" w:type="dxa"/>
            <w:vAlign w:val="center"/>
          </w:tcPr>
          <w:p>
            <w:pPr>
              <w:pStyle w:val="Normal"/>
              <w:keepNext/>
              <w:spacing w:lineRule="auto" w:line="240" w:before="40" w:after="40"/>
              <w:jc w:val="center"/>
              <w:rPr/>
            </w:pPr>
            <w:r>
              <w:rPr>
                <w:rFonts w:cs="Arial" w:ascii="Arial" w:hAnsi="Arial"/>
                <w:color w:val="auto"/>
                <w:sz w:val="20"/>
                <w:szCs w:val="20"/>
                <w:highlight w:val="yellow"/>
              </w:rPr>
              <w:t xml:space="preserve">4</w:t>
            </w:r>
          </w:p>
        </w:tc>
        <w:tc>
          <w:tcPr>
            <w:tcW w:w="2300" w:type="dxa"/>
            <w:vAlign w:val="center"/>
          </w:tcPr>
          <w:p>
            <w:pPr>
              <w:pStyle w:val="Normal"/>
              <w:keepNext/>
              <w:spacing w:lineRule="auto" w:line="240" w:before="40" w:after="40"/>
              <w:jc w:val="center"/>
              <w:rPr/>
            </w:pPr>
            <w:r>
              <w:rPr>
                <w:rFonts w:cs="Arial" w:ascii="Arial" w:hAnsi="Arial"/>
                <w:color w:val="auto"/>
                <w:sz w:val="20"/>
                <w:szCs w:val="20"/>
                <w:highlight w:val="yellow"/>
              </w:rPr>
              <w:t xml:space="preserve">38</w:t>
            </w:r>
          </w:p>
        </w:tc>
        <w:tc>
          <w:tcPr>
            <w:tcW w:w="2100" w:type="dxa"/>
            <w:vAlign w:val="center"/>
          </w:tcPr>
          <w:p>
            <w:pPr>
              <w:pStyle w:val="Normal"/>
              <w:keepNext/>
              <w:spacing w:lineRule="auto" w:line="240" w:before="40" w:after="40"/>
              <w:jc w:val="center"/>
              <w:rPr/>
            </w:pPr>
            <w:r>
              <w:rPr>
                <w:rFonts w:cs="Arial" w:ascii="Arial" w:hAnsi="Arial"/>
                <w:color w:val="auto"/>
                <w:sz w:val="20"/>
                <w:szCs w:val="20"/>
                <w:highlight w:val="yellow"/>
              </w:rPr>
              <w:t xml:space="preserve">2,4 ×</w:t>
            </w:r>
          </w:p>
        </w:tc>
      </w:tr>
      <w:tr>
        <w:trPr>
          <w:cantSplit/>
        </w:trPr>
        <w:tc>
          <w:tcPr>
            <w:tcW w:w="2200" w:type="dxa"/>
            <w:vAlign w:val="center"/>
          </w:tcPr>
          <w:p>
            <w:pPr>
              <w:pStyle w:val="Normal"/>
              <w:keepNext/>
              <w:spacing w:lineRule="auto" w:line="240" w:before="40" w:after="40"/>
              <w:jc w:val="left"/>
              <w:rPr/>
            </w:pPr>
            <w:r>
              <w:rPr>
                <w:rFonts w:cs="Arial" w:ascii="Arial" w:hAnsi="Arial"/>
                <w:b/>
                <w:bCs/>
                <w:color w:val="auto"/>
                <w:sz w:val="20"/>
                <w:szCs w:val="20"/>
              </w:rPr>
              <w:t xml:space="preserve">MIG/MAG</w:t>
            </w:r>
          </w:p>
        </w:tc>
        <w:tc>
          <w:tcPr>
            <w:tcW w:w="1900" w:type="dxa"/>
            <w:vAlign w:val="center"/>
          </w:tcPr>
          <w:p>
            <w:pPr>
              <w:pStyle w:val="Normal"/>
              <w:keepNext/>
              <w:spacing w:lineRule="auto" w:line="240" w:before="40" w:after="40"/>
              <w:jc w:val="center"/>
              <w:rPr/>
            </w:pPr>
            <w:r>
              <w:rPr>
                <w:rFonts w:cs="Arial" w:ascii="Arial" w:hAnsi="Arial"/>
                <w:color w:val="auto"/>
                <w:sz w:val="20"/>
                <w:szCs w:val="20"/>
                <w:highlight w:val="yellow"/>
              </w:rPr>
              <w:t xml:space="preserve">3</w:t>
            </w:r>
          </w:p>
        </w:tc>
        <w:tc>
          <w:tcPr>
            <w:tcW w:w="2300" w:type="dxa"/>
            <w:vAlign w:val="center"/>
          </w:tcPr>
          <w:p>
            <w:pPr>
              <w:pStyle w:val="Normal"/>
              <w:keepNext/>
              <w:spacing w:lineRule="auto" w:line="240" w:before="40" w:after="40"/>
              <w:jc w:val="center"/>
              <w:rPr/>
            </w:pPr>
            <w:r>
              <w:rPr>
                <w:rFonts w:cs="Arial" w:ascii="Arial" w:hAnsi="Arial"/>
                <w:color w:val="auto"/>
                <w:sz w:val="20"/>
                <w:szCs w:val="20"/>
                <w:highlight w:val="yellow"/>
              </w:rPr>
              <w:t xml:space="preserve">16</w:t>
            </w:r>
          </w:p>
        </w:tc>
        <w:tc>
          <w:tcPr>
            <w:tcW w:w="2100" w:type="dxa"/>
            <w:vAlign w:val="center"/>
          </w:tcPr>
          <w:p>
            <w:pPr>
              <w:pStyle w:val="Normal"/>
              <w:keepNext/>
              <w:spacing w:lineRule="auto" w:line="240" w:before="40" w:after="40"/>
              <w:jc w:val="center"/>
              <w:rPr/>
            </w:pPr>
            <w:r>
              <w:rPr>
                <w:rFonts w:cs="Arial" w:ascii="Arial" w:hAnsi="Arial"/>
                <w:color w:val="auto"/>
                <w:sz w:val="20"/>
                <w:szCs w:val="20"/>
                <w:highlight w:val="yellow"/>
              </w:rPr>
              <w:t xml:space="preserve">1,0 ×</w:t>
            </w:r>
          </w:p>
        </w:tc>
      </w:tr>
      <w:tr>
        <w:trPr>
          <w:cantSplit/>
        </w:trPr>
        <w:tc>
          <w:tcPr>
            <w:tcW w:w="2200" w:type="dxa"/>
            <w:vAlign w:val="center"/>
          </w:tcPr>
          <w:p>
            <w:pPr>
              <w:pStyle w:val="Normal"/>
              <w:keepNext/>
              <w:spacing w:lineRule="auto" w:line="240" w:before="40" w:after="40"/>
              <w:jc w:val="left"/>
              <w:rPr/>
            </w:pPr>
            <w:r>
              <w:rPr>
                <w:rFonts w:cs="Arial" w:ascii="Arial" w:hAnsi="Arial"/>
                <w:b/>
                <w:bCs/>
                <w:color w:val="auto"/>
                <w:sz w:val="20"/>
                <w:szCs w:val="20"/>
              </w:rPr>
              <w:t xml:space="preserve">TIG</w:t>
            </w:r>
          </w:p>
        </w:tc>
        <w:tc>
          <w:tcPr>
            <w:tcW w:w="1900" w:type="dxa"/>
            <w:vAlign w:val="center"/>
          </w:tcPr>
          <w:p>
            <w:pPr>
              <w:pStyle w:val="Normal"/>
              <w:keepNext/>
              <w:spacing w:lineRule="auto" w:line="240" w:before="40" w:after="40"/>
              <w:jc w:val="center"/>
              <w:rPr/>
            </w:pPr>
            <w:r>
              <w:rPr>
                <w:rFonts w:cs="Arial" w:ascii="Arial" w:hAnsi="Arial"/>
                <w:color w:val="auto"/>
                <w:sz w:val="20"/>
                <w:szCs w:val="20"/>
                <w:highlight w:val="yellow"/>
              </w:rPr>
              <w:t xml:space="preserve">5</w:t>
            </w:r>
          </w:p>
        </w:tc>
        <w:tc>
          <w:tcPr>
            <w:tcW w:w="2300" w:type="dxa"/>
            <w:vAlign w:val="center"/>
          </w:tcPr>
          <w:p>
            <w:pPr>
              <w:pStyle w:val="Normal"/>
              <w:keepNext/>
              <w:spacing w:lineRule="auto" w:line="240" w:before="40" w:after="40"/>
              <w:jc w:val="center"/>
              <w:rPr/>
            </w:pPr>
            <w:r>
              <w:rPr>
                <w:rFonts w:cs="Arial" w:ascii="Arial" w:hAnsi="Arial"/>
                <w:color w:val="auto"/>
                <w:sz w:val="20"/>
                <w:szCs w:val="20"/>
                <w:highlight w:val="yellow"/>
              </w:rPr>
              <w:t xml:space="preserve">62</w:t>
            </w:r>
          </w:p>
        </w:tc>
        <w:tc>
          <w:tcPr>
            <w:tcW w:w="2100" w:type="dxa"/>
            <w:vAlign w:val="center"/>
          </w:tcPr>
          <w:p>
            <w:pPr>
              <w:pStyle w:val="Normal"/>
              <w:keepNext/>
              <w:spacing w:lineRule="auto" w:line="240" w:before="40" w:after="40"/>
              <w:jc w:val="center"/>
              <w:rPr/>
            </w:pPr>
            <w:r>
              <w:rPr>
                <w:rFonts w:cs="Arial" w:ascii="Arial" w:hAnsi="Arial"/>
                <w:color w:val="auto"/>
                <w:sz w:val="20"/>
                <w:szCs w:val="20"/>
                <w:highlight w:val="yellow"/>
              </w:rPr>
              <w:t xml:space="preserve">3,9 ×</w:t>
            </w:r>
          </w:p>
        </w:tc>
      </w:tr>
    </w:tbl>
    <w:p>
      <w:pPr>
        <w:pStyle w:val="Normal"/>
        <w:keepNext w:val="false"/>
        <w:spacing w:lineRule="auto" w:line="240" w:before="60" w:after="240"/>
        <w:jc w:val="center"/>
        <w:rPr/>
      </w:pPr>
      <w:r>
        <w:rPr>
          <w:rFonts w:cs="Arial" w:ascii="Arial" w:hAnsi="Arial"/>
          <w:color w:val="auto"/>
          <w:sz w:val="20"/>
          <w:szCs w:val="20"/>
        </w:rPr>
        <w:t xml:space="preserve">Fonte: elaborado pelos autores (2026).</w:t>
      </w:r>
    </w:p>
    <w:p>
      <w:pPr>
        <w:pStyle w:val="TextBody"/>
        <w:spacing w:lineRule="auto" w:line="360" w:before="0" w:after="0"/>
        <w:ind w:firstLine="709"/>
        <w:jc w:val="both"/>
        <w:rPr/>
      </w:pPr>
      <w:r>
        <w:rPr>
          <w:rFonts w:cs="Arial" w:ascii="Arial" w:hAnsi="Arial"/>
          <w:color w:val="auto"/>
          <w:sz w:val="24"/>
          <w:szCs w:val="24"/>
        </w:rPr>
        <w:t xml:space="preserve">Os resultados evidenciam o compromisso entre qualidade e produtividade. O processo TIG produziu as juntas de melhor qualidade, mas exigiu cerca de quatro vezes o tempo do processo MIG/MAG. Este, embora o mais produtivo, mostrou-se o mais sensível aos parâmetros e às condições do ambiente, o que reforça a necessidade de proteção contra correntes de ar e da seleção de um modo de transferência com maior energia, como o </w:t>
      </w:r>
      <w:r>
        <w:rPr>
          <w:rFonts w:cs="Arial" w:ascii="Arial" w:hAnsi="Arial"/>
          <w:i/>
          <w:iCs/>
          <w:color w:val="auto"/>
          <w:sz w:val="24"/>
          <w:szCs w:val="24"/>
        </w:rPr>
        <w:t xml:space="preserve">spray</w:t>
      </w:r>
      <w:r>
        <w:rPr>
          <w:rFonts w:cs="Arial" w:ascii="Arial" w:hAnsi="Arial"/>
          <w:color w:val="auto"/>
          <w:sz w:val="24"/>
          <w:szCs w:val="24"/>
        </w:rPr>
        <w:t xml:space="preserve"> ou o pulsado, para os passes de enchimento. O eletrodo revestido apresentou desempenho intermediário, com qualidade aceitável e boa robustez, confirmando sua adequação a serviços de manutenção e de campo.</w:t>
      </w:r>
    </w:p>
    <w:p>
      <w:pPr>
        <w:pStyle w:val="TextBody"/>
        <w:spacing w:lineRule="auto" w:line="360" w:before="0" w:after="0"/>
        <w:ind w:firstLine="709"/>
        <w:jc w:val="both"/>
        <w:rPr/>
      </w:pPr>
      <w:r>
        <w:rPr>
          <w:rFonts w:cs="Arial" w:ascii="Arial" w:hAnsi="Arial"/>
          <w:color w:val="auto"/>
          <w:sz w:val="24"/>
          <w:szCs w:val="24"/>
        </w:rPr>
        <w:t xml:space="preserve">Esses resultados sustentam uma prática comum na indústria: a combinação de processos, com o passe de raiz executado por TIG, para garantir penetração e sanidade, e os passes de enchimento e acabamento executados por eletrodo revestido ou MIG/MAG, para ganho de produtividade.</w:t>
      </w:r>
    </w:p>
    <w:p>
      <w:pPr>
        <w:pStyle w:val="Heading1"/>
        <w:pageBreakBefore/>
        <w:spacing w:lineRule="auto" w:line="360" w:before="0" w:after="480"/>
        <w:ind w:hanging="0"/>
        <w:jc w:val="left"/>
        <w:rPr/>
      </w:pPr>
      <w:bookmarkStart w:id="1024" w:name="_TocPI1024"/>
      <w:bookmarkEnd w:id="1024"/>
      <w:r>
        <w:rPr>
          <w:rFonts w:cs="Arial" w:ascii="Arial" w:hAnsi="Arial"/>
          <w:b/>
          <w:bCs/>
          <w:color w:val="auto"/>
          <w:sz w:val="24"/>
          <w:szCs w:val="24"/>
        </w:rPr>
        <w:t xml:space="preserve">3 CONCLUSÃO</w:t>
      </w:r>
    </w:p>
    <w:p>
      <w:pPr>
        <w:pStyle w:val="TextBody"/>
        <w:spacing w:lineRule="auto" w:line="360" w:before="0" w:after="0"/>
        <w:ind w:firstLine="709"/>
        <w:jc w:val="both"/>
        <w:rPr/>
      </w:pPr>
      <w:r>
        <w:rPr>
          <w:rFonts w:cs="Arial" w:ascii="Arial" w:hAnsi="Arial"/>
          <w:color w:val="auto"/>
          <w:sz w:val="24"/>
          <w:szCs w:val="24"/>
        </w:rPr>
        <w:t xml:space="preserve">O desenvolvimento deste projeto integrador permitiu avaliar e comparar a qualidade e as descontinuidades de juntas de aço carbono ASTM A36 soldadas pelos processos eletrodo revestido, MIG/MAG e TIG, integrando fundamentos de metalurgia da soldagem, processos de fabricação, ensaios de materiais e segurança do trabalho. Os objetivos propostos foram atingidos: os processos e as descontinuidades foram caracterizados, os corpos de prova foram confeccionados sob condições controladas e avaliados por ensaios não destrutivos e destrutivos, e os resultados foram comparados com critérios normativos.</w:t>
      </w:r>
    </w:p>
    <w:p>
      <w:pPr>
        <w:pStyle w:val="TextBody"/>
        <w:spacing w:lineRule="auto" w:line="360" w:before="0" w:after="0"/>
        <w:ind w:firstLine="709"/>
        <w:jc w:val="both"/>
        <w:rPr/>
      </w:pPr>
      <w:r>
        <w:rPr>
          <w:rFonts w:cs="Arial" w:ascii="Arial" w:hAnsi="Arial"/>
          <w:color w:val="auto"/>
          <w:sz w:val="24"/>
          <w:szCs w:val="24"/>
        </w:rPr>
        <w:t xml:space="preserve">Conclui-se que o processo TIG proporcionou a melhor qualidade de junta, com ausência de descontinuidades relevantes, ao custo da menor produtividade. O eletrodo revestido apresentou qualidade aceitável, com mordeduras e inclusões de escória de pequena dimensão, e manteve-se como alternativa versátil e econômica. O processo MIG/MAG, o mais produtivo, foi o mais sensível à regulagem dos parâmetros e às condições do ambiente, e a falta de fusão observada evidenciou que a produtividade só se converte em qualidade quando acompanhada de procedimento qualificado e de soldador treinado. Portanto, não existe um processo superior em todos os aspectos: a seleção deve considerar a aplicação, as exigências de qualidade, o custo e as condições de trabalho.</w:t>
      </w:r>
    </w:p>
    <w:p>
      <w:pPr>
        <w:pStyle w:val="TextBody"/>
        <w:spacing w:lineRule="auto" w:line="360" w:before="0" w:after="0"/>
        <w:ind w:firstLine="709"/>
        <w:jc w:val="both"/>
        <w:rPr/>
      </w:pPr>
      <w:r>
        <w:rPr>
          <w:rFonts w:cs="Arial" w:ascii="Arial" w:hAnsi="Arial"/>
          <w:color w:val="auto"/>
          <w:sz w:val="24"/>
          <w:szCs w:val="24"/>
        </w:rPr>
        <w:t xml:space="preserve">Como sugestões para trabalhos futuros, recomenda-se ampliar o número de corpos de prova, incluir ensaios de tração, de dureza e radiográficos ou ultrassônicos, avaliar outras posições de soldagem e investigar a transferência pulsada e a combinação de processos, como raiz em TIG e enchimento em MIG/MAG, na redução das descontinuidades.</w:t>
      </w:r>
    </w:p>
    <w:p>
      <w:pPr>
        <w:pStyle w:val="Heading1"/>
        <w:pageBreakBefore/>
        <w:spacing w:lineRule="auto" w:line="360" w:before="0" w:after="480"/>
        <w:ind w:hanging="0"/>
        <w:jc w:val="center"/>
        <w:rPr/>
      </w:pPr>
      <w:bookmarkStart w:id="1025" w:name="_TocPI1025"/>
      <w:bookmarkEnd w:id="1025"/>
      <w:r>
        <w:rPr>
          <w:rFonts w:cs="Arial" w:ascii="Arial" w:hAnsi="Arial"/>
          <w:b/>
          <w:bCs/>
          <w:color w:val="auto"/>
          <w:sz w:val="24"/>
          <w:szCs w:val="24"/>
        </w:rPr>
        <w:t xml:space="preserve">REFERÊNCIAS</w:t>
      </w:r>
    </w:p>
    <w:p>
      <w:pPr>
        <w:pStyle w:val="TextBody"/>
        <w:spacing w:lineRule="auto" w:line="240" w:before="0" w:after="240"/>
        <w:ind w:hanging="0"/>
        <w:jc w:val="left"/>
        <w:rPr/>
      </w:pPr>
      <w:r>
        <w:rPr>
          <w:rFonts w:cs="Arial" w:ascii="Arial" w:hAnsi="Arial"/>
          <w:color w:val="auto"/>
          <w:sz w:val="24"/>
          <w:szCs w:val="24"/>
        </w:rPr>
        <w:t xml:space="preserve">AMERICAN SOCIETY OF MECHANICAL ENGINEERS. </w:t>
      </w:r>
      <w:r>
        <w:rPr>
          <w:rFonts w:cs="Arial" w:ascii="Arial" w:hAnsi="Arial"/>
          <w:b/>
          <w:bCs/>
          <w:color w:val="auto"/>
          <w:sz w:val="24"/>
          <w:szCs w:val="24"/>
        </w:rPr>
        <w:t xml:space="preserve">ASME Boiler and Pressure Vessel Code, Section V</w:t>
      </w:r>
      <w:r>
        <w:rPr>
          <w:rFonts w:cs="Arial" w:ascii="Arial" w:hAnsi="Arial"/>
          <w:color w:val="auto"/>
          <w:sz w:val="24"/>
          <w:szCs w:val="24"/>
        </w:rPr>
        <w:t xml:space="preserve">: nondestructive examination. New York: ASME, 2023a.</w:t>
      </w:r>
    </w:p>
    <w:p>
      <w:pPr>
        <w:pStyle w:val="TextBody"/>
        <w:spacing w:lineRule="auto" w:line="240" w:before="0" w:after="240"/>
        <w:ind w:hanging="0"/>
        <w:jc w:val="left"/>
        <w:rPr/>
      </w:pPr>
      <w:r>
        <w:rPr>
          <w:rFonts w:cs="Arial" w:ascii="Arial" w:hAnsi="Arial"/>
          <w:color w:val="auto"/>
          <w:sz w:val="24"/>
          <w:szCs w:val="24"/>
        </w:rPr>
        <w:t xml:space="preserve">AMERICAN SOCIETY OF MECHANICAL ENGINEERS. </w:t>
      </w:r>
      <w:r>
        <w:rPr>
          <w:rFonts w:cs="Arial" w:ascii="Arial" w:hAnsi="Arial"/>
          <w:b/>
          <w:bCs/>
          <w:color w:val="auto"/>
          <w:sz w:val="24"/>
          <w:szCs w:val="24"/>
        </w:rPr>
        <w:t xml:space="preserve">ASME Boiler and Pressure Vessel Code, Section IX</w:t>
      </w:r>
      <w:r>
        <w:rPr>
          <w:rFonts w:cs="Arial" w:ascii="Arial" w:hAnsi="Arial"/>
          <w:color w:val="auto"/>
          <w:sz w:val="24"/>
          <w:szCs w:val="24"/>
        </w:rPr>
        <w:t xml:space="preserve">: welding, brazing, and fusing qualifications. New York: ASME, 2023b.</w:t>
      </w:r>
    </w:p>
    <w:p>
      <w:pPr>
        <w:pStyle w:val="TextBody"/>
        <w:spacing w:lineRule="auto" w:line="240" w:before="0" w:after="240"/>
        <w:ind w:hanging="0"/>
        <w:jc w:val="left"/>
        <w:rPr/>
      </w:pPr>
      <w:r>
        <w:rPr>
          <w:rFonts w:cs="Arial" w:ascii="Arial" w:hAnsi="Arial"/>
          <w:color w:val="auto"/>
          <w:sz w:val="24"/>
          <w:szCs w:val="24"/>
        </w:rPr>
        <w:t xml:space="preserve">AMERICAN SOCIETY FOR TESTING AND MATERIALS. </w:t>
      </w:r>
      <w:r>
        <w:rPr>
          <w:rFonts w:cs="Arial" w:ascii="Arial" w:hAnsi="Arial"/>
          <w:b/>
          <w:bCs/>
          <w:color w:val="auto"/>
          <w:sz w:val="24"/>
          <w:szCs w:val="24"/>
        </w:rPr>
        <w:t xml:space="preserve">ASTM A36/A36M-19</w:t>
      </w:r>
      <w:r>
        <w:rPr>
          <w:rFonts w:cs="Arial" w:ascii="Arial" w:hAnsi="Arial"/>
          <w:color w:val="auto"/>
          <w:sz w:val="24"/>
          <w:szCs w:val="24"/>
        </w:rPr>
        <w:t xml:space="preserve">: standard specification for carbon structural steel. West Conshohocken: ASTM International, 2019.</w:t>
      </w:r>
    </w:p>
    <w:p>
      <w:pPr>
        <w:pStyle w:val="TextBody"/>
        <w:spacing w:lineRule="auto" w:line="240" w:before="0" w:after="240"/>
        <w:ind w:hanging="0"/>
        <w:jc w:val="left"/>
        <w:rPr/>
      </w:pPr>
      <w:r>
        <w:rPr>
          <w:rFonts w:cs="Arial" w:ascii="Arial" w:hAnsi="Arial"/>
          <w:color w:val="auto"/>
          <w:sz w:val="24"/>
          <w:szCs w:val="24"/>
        </w:rPr>
        <w:t xml:space="preserve">AMERICAN WELDING SOCIETY. </w:t>
      </w:r>
      <w:r>
        <w:rPr>
          <w:rFonts w:cs="Arial" w:ascii="Arial" w:hAnsi="Arial"/>
          <w:b/>
          <w:bCs/>
          <w:color w:val="auto"/>
          <w:sz w:val="24"/>
          <w:szCs w:val="24"/>
        </w:rPr>
        <w:t xml:space="preserve">AWS A5.1/A5.1M</w:t>
      </w:r>
      <w:r>
        <w:rPr>
          <w:rFonts w:cs="Arial" w:ascii="Arial" w:hAnsi="Arial"/>
          <w:color w:val="auto"/>
          <w:sz w:val="24"/>
          <w:szCs w:val="24"/>
        </w:rPr>
        <w:t xml:space="preserve">: specification for carbon steel electrodes for shielded metal arc welding. Miami: AWS, 2012.</w:t>
      </w:r>
    </w:p>
    <w:p>
      <w:pPr>
        <w:pStyle w:val="TextBody"/>
        <w:spacing w:lineRule="auto" w:line="240" w:before="0" w:after="240"/>
        <w:ind w:hanging="0"/>
        <w:jc w:val="left"/>
        <w:rPr/>
      </w:pPr>
      <w:r>
        <w:rPr>
          <w:rFonts w:cs="Arial" w:ascii="Arial" w:hAnsi="Arial"/>
          <w:color w:val="auto"/>
          <w:sz w:val="24"/>
          <w:szCs w:val="24"/>
        </w:rPr>
        <w:t xml:space="preserve">AMERICAN WELDING SOCIETY. </w:t>
      </w:r>
      <w:r>
        <w:rPr>
          <w:rFonts w:cs="Arial" w:ascii="Arial" w:hAnsi="Arial"/>
          <w:b/>
          <w:bCs/>
          <w:color w:val="auto"/>
          <w:sz w:val="24"/>
          <w:szCs w:val="24"/>
        </w:rPr>
        <w:t xml:space="preserve">AWS A5.18/A5.18M</w:t>
      </w:r>
      <w:r>
        <w:rPr>
          <w:rFonts w:cs="Arial" w:ascii="Arial" w:hAnsi="Arial"/>
          <w:color w:val="auto"/>
          <w:sz w:val="24"/>
          <w:szCs w:val="24"/>
        </w:rPr>
        <w:t xml:space="preserve">: specification for carbon steel electrodes and rods for gas shielded arc welding. Miami: AWS, 2021.</w:t>
      </w:r>
    </w:p>
    <w:p>
      <w:pPr>
        <w:pStyle w:val="TextBody"/>
        <w:spacing w:lineRule="auto" w:line="240" w:before="0" w:after="240"/>
        <w:ind w:hanging="0"/>
        <w:jc w:val="left"/>
        <w:rPr/>
      </w:pPr>
      <w:r>
        <w:rPr>
          <w:rFonts w:cs="Arial" w:ascii="Arial" w:hAnsi="Arial"/>
          <w:color w:val="auto"/>
          <w:sz w:val="24"/>
          <w:szCs w:val="24"/>
        </w:rPr>
        <w:t xml:space="preserve">AMERICAN WELDING SOCIETY. </w:t>
      </w:r>
      <w:r>
        <w:rPr>
          <w:rFonts w:cs="Arial" w:ascii="Arial" w:hAnsi="Arial"/>
          <w:b/>
          <w:bCs/>
          <w:color w:val="auto"/>
          <w:sz w:val="24"/>
          <w:szCs w:val="24"/>
        </w:rPr>
        <w:t xml:space="preserve">AWS D1.1/D1.1M</w:t>
      </w:r>
      <w:r>
        <w:rPr>
          <w:rFonts w:cs="Arial" w:ascii="Arial" w:hAnsi="Arial"/>
          <w:color w:val="auto"/>
          <w:sz w:val="24"/>
          <w:szCs w:val="24"/>
        </w:rPr>
        <w:t xml:space="preserve">: structural welding code – steel. Miami: AWS, 2020a.</w:t>
      </w:r>
    </w:p>
    <w:p>
      <w:pPr>
        <w:pStyle w:val="TextBody"/>
        <w:spacing w:lineRule="auto" w:line="240" w:before="0" w:after="240"/>
        <w:ind w:hanging="0"/>
        <w:jc w:val="left"/>
        <w:rPr/>
      </w:pPr>
      <w:r>
        <w:rPr>
          <w:rFonts w:cs="Arial" w:ascii="Arial" w:hAnsi="Arial"/>
          <w:color w:val="auto"/>
          <w:sz w:val="24"/>
          <w:szCs w:val="24"/>
        </w:rPr>
        <w:t xml:space="preserve">AMERICAN WELDING SOCIETY. </w:t>
      </w:r>
      <w:r>
        <w:rPr>
          <w:rFonts w:cs="Arial" w:ascii="Arial" w:hAnsi="Arial"/>
          <w:b/>
          <w:bCs/>
          <w:color w:val="auto"/>
          <w:sz w:val="24"/>
          <w:szCs w:val="24"/>
        </w:rPr>
        <w:t xml:space="preserve">AWS A3.0M/A3.0</w:t>
      </w:r>
      <w:r>
        <w:rPr>
          <w:rFonts w:cs="Arial" w:ascii="Arial" w:hAnsi="Arial"/>
          <w:color w:val="auto"/>
          <w:sz w:val="24"/>
          <w:szCs w:val="24"/>
        </w:rPr>
        <w:t xml:space="preserve">: standard welding terms and definitions. Miami: AWS, 2020b.</w:t>
      </w:r>
    </w:p>
    <w:p>
      <w:pPr>
        <w:pStyle w:val="TextBody"/>
        <w:spacing w:lineRule="auto" w:line="240" w:before="0" w:after="240"/>
        <w:ind w:hanging="0"/>
        <w:jc w:val="left"/>
        <w:rPr/>
      </w:pPr>
      <w:r>
        <w:rPr>
          <w:rFonts w:cs="Arial" w:ascii="Arial" w:hAnsi="Arial"/>
          <w:color w:val="auto"/>
          <w:sz w:val="24"/>
          <w:szCs w:val="24"/>
        </w:rPr>
        <w:t xml:space="preserve">BRASIL. Ministério do Trabalho e Emprego. </w:t>
      </w:r>
      <w:r>
        <w:rPr>
          <w:rFonts w:cs="Arial" w:ascii="Arial" w:hAnsi="Arial"/>
          <w:b/>
          <w:bCs/>
          <w:color w:val="auto"/>
          <w:sz w:val="24"/>
          <w:szCs w:val="24"/>
        </w:rPr>
        <w:t xml:space="preserve">Normas Regulamentadoras</w:t>
      </w:r>
      <w:r>
        <w:rPr>
          <w:rFonts w:cs="Arial" w:ascii="Arial" w:hAnsi="Arial"/>
          <w:color w:val="auto"/>
          <w:sz w:val="24"/>
          <w:szCs w:val="24"/>
        </w:rPr>
        <w:t xml:space="preserve">: NR-6, NR-12 e NR-15. Brasília, DF: MTE, 2022. Disponível em: https://www.gov.br/trabalho-e-emprego. Acesso em: 28 set. 2026.</w:t>
      </w:r>
    </w:p>
    <w:p>
      <w:pPr>
        <w:pStyle w:val="TextBody"/>
        <w:spacing w:lineRule="auto" w:line="240" w:before="0" w:after="240"/>
        <w:ind w:hanging="0"/>
        <w:jc w:val="left"/>
        <w:rPr/>
      </w:pPr>
      <w:r>
        <w:rPr>
          <w:rFonts w:cs="Arial" w:ascii="Arial" w:hAnsi="Arial"/>
          <w:color w:val="auto"/>
          <w:sz w:val="24"/>
          <w:szCs w:val="24"/>
        </w:rPr>
        <w:t xml:space="preserve">CHIAVERINI, V. </w:t>
      </w:r>
      <w:r>
        <w:rPr>
          <w:rFonts w:cs="Arial" w:ascii="Arial" w:hAnsi="Arial"/>
          <w:b/>
          <w:bCs/>
          <w:color w:val="auto"/>
          <w:sz w:val="24"/>
          <w:szCs w:val="24"/>
        </w:rPr>
        <w:t xml:space="preserve">Aços e ferros fundidos</w:t>
      </w:r>
      <w:r>
        <w:rPr>
          <w:rFonts w:cs="Arial" w:ascii="Arial" w:hAnsi="Arial"/>
          <w:color w:val="auto"/>
          <w:sz w:val="24"/>
          <w:szCs w:val="24"/>
        </w:rPr>
        <w:t xml:space="preserve">. 7. ed. São Paulo: Associação Brasileira de Metalurgia e Materiais, 2005.</w:t>
      </w:r>
    </w:p>
    <w:p>
      <w:pPr>
        <w:pStyle w:val="TextBody"/>
        <w:spacing w:lineRule="auto" w:line="240" w:before="0" w:after="240"/>
        <w:ind w:hanging="0"/>
        <w:jc w:val="left"/>
        <w:rPr/>
      </w:pPr>
      <w:r>
        <w:rPr>
          <w:rFonts w:cs="Arial" w:ascii="Arial" w:hAnsi="Arial"/>
          <w:color w:val="auto"/>
          <w:sz w:val="24"/>
          <w:szCs w:val="24"/>
        </w:rPr>
        <w:t xml:space="preserve">FORTES, C. </w:t>
      </w:r>
      <w:r>
        <w:rPr>
          <w:rFonts w:cs="Arial" w:ascii="Arial" w:hAnsi="Arial"/>
          <w:b/>
          <w:bCs/>
          <w:color w:val="auto"/>
          <w:sz w:val="24"/>
          <w:szCs w:val="24"/>
        </w:rPr>
        <w:t xml:space="preserve">Soldagem MIG/MAG</w:t>
      </w:r>
      <w:r>
        <w:rPr>
          <w:rFonts w:cs="Arial" w:ascii="Arial" w:hAnsi="Arial"/>
          <w:color w:val="auto"/>
          <w:sz w:val="24"/>
          <w:szCs w:val="24"/>
        </w:rPr>
        <w:t xml:space="preserve">. Contagem: ESAB, 2005. Apostila.</w:t>
      </w:r>
    </w:p>
    <w:p>
      <w:pPr>
        <w:pStyle w:val="TextBody"/>
        <w:spacing w:lineRule="auto" w:line="240" w:before="0" w:after="240"/>
        <w:ind w:hanging="0"/>
        <w:jc w:val="left"/>
        <w:rPr/>
      </w:pPr>
      <w:r>
        <w:rPr>
          <w:rFonts w:cs="Arial" w:ascii="Arial" w:hAnsi="Arial"/>
          <w:color w:val="auto"/>
          <w:sz w:val="24"/>
          <w:szCs w:val="24"/>
        </w:rPr>
        <w:t xml:space="preserve">FORTES, C.; VAZ, C. T. </w:t>
      </w:r>
      <w:r>
        <w:rPr>
          <w:rFonts w:cs="Arial" w:ascii="Arial" w:hAnsi="Arial"/>
          <w:b/>
          <w:bCs/>
          <w:color w:val="auto"/>
          <w:sz w:val="24"/>
          <w:szCs w:val="24"/>
        </w:rPr>
        <w:t xml:space="preserve">Eletrodos revestidos OK</w:t>
      </w:r>
      <w:r>
        <w:rPr>
          <w:rFonts w:cs="Arial" w:ascii="Arial" w:hAnsi="Arial"/>
          <w:color w:val="auto"/>
          <w:sz w:val="24"/>
          <w:szCs w:val="24"/>
        </w:rPr>
        <w:t xml:space="preserve">. Contagem: ESAB, 2005. Apostila.</w:t>
      </w:r>
    </w:p>
    <w:p>
      <w:pPr>
        <w:pStyle w:val="TextBody"/>
        <w:spacing w:lineRule="auto" w:line="240" w:before="0" w:after="240"/>
        <w:ind w:hanging="0"/>
        <w:jc w:val="left"/>
        <w:rPr/>
      </w:pPr>
      <w:r>
        <w:rPr>
          <w:rFonts w:cs="Arial" w:ascii="Arial" w:hAnsi="Arial"/>
          <w:color w:val="auto"/>
          <w:sz w:val="24"/>
          <w:szCs w:val="24"/>
        </w:rPr>
        <w:t xml:space="preserve">INTERNATIONAL ORGANIZATION FOR STANDARDIZATION. </w:t>
      </w:r>
      <w:r>
        <w:rPr>
          <w:rFonts w:cs="Arial" w:ascii="Arial" w:hAnsi="Arial"/>
          <w:b/>
          <w:bCs/>
          <w:color w:val="auto"/>
          <w:sz w:val="24"/>
          <w:szCs w:val="24"/>
        </w:rPr>
        <w:t xml:space="preserve">ISO 5817</w:t>
      </w:r>
      <w:r>
        <w:rPr>
          <w:rFonts w:cs="Arial" w:ascii="Arial" w:hAnsi="Arial"/>
          <w:color w:val="auto"/>
          <w:sz w:val="24"/>
          <w:szCs w:val="24"/>
        </w:rPr>
        <w:t xml:space="preserve">: welding – fusion-welded joints in steel, nickel, titanium and their alloys (beam welding excluded) – quality levels for imperfections. Geneva: ISO, 2023.</w:t>
      </w:r>
    </w:p>
    <w:p>
      <w:pPr>
        <w:pStyle w:val="TextBody"/>
        <w:spacing w:lineRule="auto" w:line="240" w:before="0" w:after="240"/>
        <w:ind w:hanging="0"/>
        <w:jc w:val="left"/>
        <w:rPr/>
      </w:pPr>
      <w:r>
        <w:rPr>
          <w:rFonts w:cs="Arial" w:ascii="Arial" w:hAnsi="Arial"/>
          <w:color w:val="auto"/>
          <w:sz w:val="24"/>
          <w:szCs w:val="24"/>
        </w:rPr>
        <w:t xml:space="preserve">INTERNATIONAL ORGANIZATION FOR STANDARDIZATION. </w:t>
      </w:r>
      <w:r>
        <w:rPr>
          <w:rFonts w:cs="Arial" w:ascii="Arial" w:hAnsi="Arial"/>
          <w:b/>
          <w:bCs/>
          <w:color w:val="auto"/>
          <w:sz w:val="24"/>
          <w:szCs w:val="24"/>
        </w:rPr>
        <w:t xml:space="preserve">ISO 6520-1</w:t>
      </w:r>
      <w:r>
        <w:rPr>
          <w:rFonts w:cs="Arial" w:ascii="Arial" w:hAnsi="Arial"/>
          <w:color w:val="auto"/>
          <w:sz w:val="24"/>
          <w:szCs w:val="24"/>
        </w:rPr>
        <w:t xml:space="preserve">: welding and allied processes – classification of geometric imperfections in metallic materials – part 1: fusion welding. Geneva: ISO, 2007.</w:t>
      </w:r>
    </w:p>
    <w:p>
      <w:pPr>
        <w:pStyle w:val="TextBody"/>
        <w:spacing w:lineRule="auto" w:line="240" w:before="0" w:after="240"/>
        <w:ind w:hanging="0"/>
        <w:jc w:val="left"/>
        <w:rPr/>
      </w:pPr>
      <w:r>
        <w:rPr>
          <w:rFonts w:cs="Arial" w:ascii="Arial" w:hAnsi="Arial"/>
          <w:color w:val="auto"/>
          <w:sz w:val="24"/>
          <w:szCs w:val="24"/>
        </w:rPr>
        <w:t xml:space="preserve">MARQUES, P. V.; MODENESI, P. J.; BRACARENSE, A. Q. </w:t>
      </w:r>
      <w:r>
        <w:rPr>
          <w:rFonts w:cs="Arial" w:ascii="Arial" w:hAnsi="Arial"/>
          <w:b/>
          <w:bCs/>
          <w:color w:val="auto"/>
          <w:sz w:val="24"/>
          <w:szCs w:val="24"/>
        </w:rPr>
        <w:t xml:space="preserve">Soldagem</w:t>
      </w:r>
      <w:r>
        <w:rPr>
          <w:rFonts w:cs="Arial" w:ascii="Arial" w:hAnsi="Arial"/>
          <w:color w:val="auto"/>
          <w:sz w:val="24"/>
          <w:szCs w:val="24"/>
        </w:rPr>
        <w:t xml:space="preserve">: fundamentos e tecnologia. 3. ed. Belo Horizonte: Editora UFMG, 2011.</w:t>
      </w:r>
    </w:p>
    <w:p>
      <w:pPr>
        <w:pStyle w:val="TextBody"/>
        <w:spacing w:lineRule="auto" w:line="240" w:before="0" w:after="240"/>
        <w:ind w:hanging="0"/>
        <w:jc w:val="left"/>
        <w:rPr/>
      </w:pPr>
      <w:r>
        <w:rPr>
          <w:rFonts w:cs="Arial" w:ascii="Arial" w:hAnsi="Arial"/>
          <w:color w:val="auto"/>
          <w:sz w:val="24"/>
          <w:szCs w:val="24"/>
        </w:rPr>
        <w:t xml:space="preserve">MODENESI, P. J.; MARQUES, P. V.; SANTOS, D. B. </w:t>
      </w:r>
      <w:r>
        <w:rPr>
          <w:rFonts w:cs="Arial" w:ascii="Arial" w:hAnsi="Arial"/>
          <w:b/>
          <w:bCs/>
          <w:color w:val="auto"/>
          <w:sz w:val="24"/>
          <w:szCs w:val="24"/>
        </w:rPr>
        <w:t xml:space="preserve">Introdução à metalurgia da soldagem</w:t>
      </w:r>
      <w:r>
        <w:rPr>
          <w:rFonts w:cs="Arial" w:ascii="Arial" w:hAnsi="Arial"/>
          <w:color w:val="auto"/>
          <w:sz w:val="24"/>
          <w:szCs w:val="24"/>
        </w:rPr>
        <w:t xml:space="preserve">. Belo Horizonte: UFMG, 2012.</w:t>
      </w:r>
    </w:p>
    <w:p>
      <w:pPr>
        <w:pStyle w:val="TextBody"/>
        <w:spacing w:lineRule="auto" w:line="240" w:before="0" w:after="240"/>
        <w:ind w:hanging="0"/>
        <w:jc w:val="left"/>
        <w:rPr/>
      </w:pPr>
      <w:r>
        <w:rPr>
          <w:rFonts w:cs="Arial" w:ascii="Arial" w:hAnsi="Arial"/>
          <w:color w:val="auto"/>
          <w:sz w:val="24"/>
          <w:szCs w:val="24"/>
        </w:rPr>
        <w:t xml:space="preserve">WAINER, E.; BRANDI, S. D.; MELLO, F. D. H. </w:t>
      </w:r>
      <w:r>
        <w:rPr>
          <w:rFonts w:cs="Arial" w:ascii="Arial" w:hAnsi="Arial"/>
          <w:b/>
          <w:bCs/>
          <w:color w:val="auto"/>
          <w:sz w:val="24"/>
          <w:szCs w:val="24"/>
        </w:rPr>
        <w:t xml:space="preserve">Soldagem</w:t>
      </w:r>
      <w:r>
        <w:rPr>
          <w:rFonts w:cs="Arial" w:ascii="Arial" w:hAnsi="Arial"/>
          <w:color w:val="auto"/>
          <w:sz w:val="24"/>
          <w:szCs w:val="24"/>
        </w:rPr>
        <w:t xml:space="preserve">: processos e metalurgia. São Paulo: Edgard Blücher, 1992.</w:t>
      </w:r>
    </w:p>
    <w:p>
      <w:pPr>
        <w:pStyle w:val="Heading1"/>
        <w:pageBreakBefore/>
        <w:spacing w:lineRule="auto" w:line="360" w:before="0" w:after="480"/>
        <w:ind w:hanging="0"/>
        <w:jc w:val="center"/>
        <w:rPr/>
      </w:pPr>
      <w:bookmarkStart w:id="1026" w:name="_TocPI1026"/>
      <w:bookmarkEnd w:id="1026"/>
      <w:r>
        <w:rPr>
          <w:rFonts w:cs="Arial" w:ascii="Arial" w:hAnsi="Arial"/>
          <w:b/>
          <w:bCs/>
          <w:color w:val="auto"/>
          <w:sz w:val="24"/>
          <w:szCs w:val="24"/>
        </w:rPr>
        <w:t xml:space="preserve">APÊNDICES</w:t>
      </w:r>
    </w:p>
    <w:p>
      <w:pPr>
        <w:pStyle w:val="TextBody"/>
        <w:spacing w:lineRule="auto" w:line="360" w:before="0" w:after="0"/>
        <w:ind w:firstLine="709"/>
        <w:jc w:val="both"/>
        <w:rPr/>
      </w:pPr>
      <w:r>
        <w:rPr>
          <w:rFonts w:cs="Arial" w:ascii="Arial" w:hAnsi="Arial"/>
          <w:b/>
          <w:bCs/>
          <w:color w:val="auto"/>
          <w:sz w:val="24"/>
          <w:szCs w:val="24"/>
        </w:rPr>
        <w:t xml:space="preserve">Elemento opcional.</w:t>
      </w:r>
      <w:r>
        <w:rPr>
          <w:rFonts w:cs="Arial" w:ascii="Arial" w:hAnsi="Arial"/>
          <w:color w:val="auto"/>
          <w:sz w:val="24"/>
          <w:szCs w:val="24"/>
        </w:rPr>
        <w:t xml:space="preserve"> Deve ser precedido da palavra APÊNDICE, identificado por letras maiúsculas consecutivas, travessão e pelo respectivo título. Sugere-se, para este trabalho:</w:t>
      </w:r>
    </w:p>
    <w:p>
      <w:pPr>
        <w:pStyle w:val="TextBody"/>
        <w:spacing w:lineRule="auto" w:line="360" w:before="0" w:after="0"/>
        <w:ind w:left="709" w:hanging="0"/>
        <w:jc w:val="both"/>
        <w:rPr/>
      </w:pPr>
      <w:r>
        <w:rPr>
          <w:rFonts w:cs="Arial" w:ascii="Arial" w:hAnsi="Arial"/>
          <w:color w:val="auto"/>
          <w:sz w:val="24"/>
          <w:szCs w:val="24"/>
        </w:rPr>
        <w:t xml:space="preserve">APÊNDICE A – Especificação do procedimento de soldagem (EPS) utilizada em cada processo</w:t>
      </w:r>
    </w:p>
    <w:p>
      <w:pPr>
        <w:pStyle w:val="TextBody"/>
        <w:spacing w:lineRule="auto" w:line="360" w:before="0" w:after="0"/>
        <w:ind w:left="709" w:hanging="0"/>
        <w:jc w:val="both"/>
        <w:rPr/>
      </w:pPr>
      <w:r>
        <w:rPr>
          <w:rFonts w:cs="Arial" w:ascii="Arial" w:hAnsi="Arial"/>
          <w:color w:val="auto"/>
          <w:sz w:val="24"/>
          <w:szCs w:val="24"/>
        </w:rPr>
        <w:t xml:space="preserve">APÊNDICE B – Registro fotográfico dos corpos de prova soldados e ensaiados</w:t>
      </w:r>
    </w:p>
    <w:p>
      <w:pPr>
        <w:pStyle w:val="TextBody"/>
        <w:spacing w:lineRule="auto" w:line="360" w:before="0" w:after="0"/>
        <w:ind w:left="709" w:hanging="0"/>
        <w:jc w:val="both"/>
        <w:rPr/>
      </w:pPr>
      <w:r>
        <w:rPr>
          <w:rFonts w:cs="Arial" w:ascii="Arial" w:hAnsi="Arial"/>
          <w:color w:val="auto"/>
          <w:sz w:val="24"/>
          <w:szCs w:val="24"/>
        </w:rPr>
        <w:t xml:space="preserve">APÊNDICE C – Relatórios de inspeção visual e por líquido penetrante</w:t>
      </w:r>
    </w:p>
    <w:sectPr>
      <w:headerReference w:type="even" r:id="rId4"/>
      <w:headerReference w:type="default" r:id="rId5"/>
      <w:headerReference w:type="first" r:id="rId6"/>
      <w:footerReference w:type="even" r:id="rId7"/>
      <w:footerReference w:type="default" r:id="rIdPN"/>
      <w:footerReference w:type="first" r:id="rId9"/>
      <w:type w:val="nextPage"/>
      <w:pgSz w:w="11909" w:h="16834"/>
      <w:pgMar w:left="1701" w:right="1134" w:gutter="0" w:header="708" w:top="1985" w:footer="708" w:bottom="2098"/>
      <w:pgNumType w:fmt="decimal" w:start="6"/>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default"/>
  </w:font>
  <w:font w:name="Calibri Light">
    <w:charset w:val="01"/>
    <w:family w:val="swiss"/>
    <w:pitch w:val="default"/>
  </w:font>
  <w:font w:name="Liberation Serif">
    <w:altName w:val="Times New Roman"/>
    <w:charset w:val="01"/>
    <w:family w:val="swiss"/>
    <w:pitch w:val="default"/>
  </w:font>
  <w:font w:name="OpenSymbol">
    <w:altName w:val="Arial Unicode MS"/>
    <w:charset w:val="01"/>
    <w:family w:val="swiss"/>
    <w:pitch w:val="default"/>
  </w:font>
  <w:font w:name="arial">
    <w:charset w:val="01"/>
    <w:family w:val="swiss"/>
    <w:pitch w:val="default"/>
  </w:font>
  <w:font w:name="Arial">
    <w:charset w:val="01"/>
    <w:family w:val="swiss"/>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
  </w:p>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
  </w:p>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Fonts w:cs="Arial" w:ascii="Arial" w:hAnsi="Arial"/>
        <w:sz w:val="20"/>
      </w:rPr>
      <w:fldChar w:fldCharType="begin"/>
    </w:r>
    <w:r>
      <w:rPr>
        <w:rFonts w:cs="Arial" w:ascii="Arial" w:hAnsi="Arial"/>
        <w:sz w:val="20"/>
      </w:rPr>
      <w:instrText xml:space="preserve"> PAGE </w:instrText>
    </w:r>
    <w:r>
      <w:rPr>
        <w:rFonts w:cs="Arial" w:ascii="Arial" w:hAnsi="Arial"/>
        <w:sz w:val="20"/>
      </w:rPr>
      <w:fldChar w:fldCharType="separate"/>
    </w:r>
    <w:r>
      <w:rPr>
        <w:rFonts w:cs="Arial" w:ascii="Arial" w:hAnsi="Arial"/>
        <w:sz w:val="20"/>
      </w:rPr>
      <w:t>1</w:t>
    </w:r>
    <w:r>
      <w:rPr>
        <w:rFonts w:cs="Arial" w:ascii="Arial" w:hAnsi="Arial"/>
        <w:sz w:val="2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1" distT="0" distB="0" distL="0" distR="0" simplePos="0" locked="0" layoutInCell="0" allowOverlap="1" relativeHeight="22">
          <wp:simplePos x="0" y="0"/>
          <wp:positionH relativeFrom="column">
            <wp:posOffset>-1080135</wp:posOffset>
          </wp:positionH>
          <wp:positionV relativeFrom="paragraph">
            <wp:posOffset>-449580</wp:posOffset>
          </wp:positionV>
          <wp:extent cx="7639050" cy="10692130"/>
          <wp:effectExtent l="0" t="0" r="0" b="0"/>
          <wp:wrapNone/>
          <wp:docPr id="1" name="Imagem 15787909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578790978" descr=""/>
                  <pic:cNvPicPr>
                    <a:picLocks noChangeAspect="1" noChangeArrowheads="1"/>
                  </pic:cNvPicPr>
                </pic:nvPicPr>
                <pic:blipFill>
                  <a:blip r:embed="rId1"/>
                  <a:stretch>
                    <a:fillRect/>
                  </a:stretch>
                </pic:blipFill>
                <pic:spPr bwMode="auto">
                  <a:xfrm>
                    <a:off x="0" y="0"/>
                    <a:ext cx="7639050" cy="10692130"/>
                  </a:xfrm>
                  <a:prstGeom prst="rect">
                    <a:avLst/>
                  </a:prstGeom>
                </pic:spPr>
              </pic:pic>
            </a:graphicData>
          </a:graphic>
        </wp:anchor>
      </w:drawing>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1" distT="0" distB="0" distL="0" distR="0" simplePos="0" locked="0" layoutInCell="0" allowOverlap="1" relativeHeight="2">
          <wp:simplePos x="0" y="0"/>
          <wp:positionH relativeFrom="column">
            <wp:posOffset>-1080135</wp:posOffset>
          </wp:positionH>
          <wp:positionV relativeFrom="paragraph">
            <wp:posOffset>-449580</wp:posOffset>
          </wp:positionV>
          <wp:extent cx="7560310" cy="10689590"/>
          <wp:effectExtent l="0" t="0" r="0" b="0"/>
          <wp:wrapNone/>
          <wp:docPr id="2" name="Imagem 25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5 Copy 1" descr=""/>
                  <pic:cNvPicPr>
                    <a:picLocks noChangeAspect="1" noChangeArrowheads="1"/>
                  </pic:cNvPicPr>
                </pic:nvPicPr>
                <pic:blipFill>
                  <a:blip r:embed="rId1"/>
                  <a:srcRect l="-127" t="-91" r="-127" b="-91"/>
                  <a:stretch>
                    <a:fillRect/>
                  </a:stretch>
                </pic:blipFill>
                <pic:spPr bwMode="auto">
                  <a:xfrm>
                    <a:off x="0" y="0"/>
                    <a:ext cx="7560310" cy="10689590"/>
                  </a:xfrm>
                  <a:prstGeom prst="rect">
                    <a:avLst/>
                  </a:prstGeom>
                  <a:ln w="635">
                    <a:solidFill>
                      <a:srgbClr val="000000"/>
                    </a:solidFill>
                  </a:ln>
                </pic:spPr>
              </pic:pic>
            </a:graphicData>
          </a:graphic>
        </wp:anchor>
      </w:drawing>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1" distT="0" distB="0" distL="0" distR="0" simplePos="0" locked="0" layoutInCell="0" allowOverlap="1" relativeHeight="2">
          <wp:simplePos x="0" y="0"/>
          <wp:positionH relativeFrom="column">
            <wp:posOffset>-1080135</wp:posOffset>
          </wp:positionH>
          <wp:positionV relativeFrom="paragraph">
            <wp:posOffset>-449580</wp:posOffset>
          </wp:positionV>
          <wp:extent cx="7560310" cy="10689590"/>
          <wp:effectExtent l="0" t="0" r="0" b="0"/>
          <wp:wrapNone/>
          <wp:docPr id="3" name="Imagem 25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25 Copy 1" descr=""/>
                  <pic:cNvPicPr>
                    <a:picLocks noChangeAspect="1" noChangeArrowheads="1"/>
                  </pic:cNvPicPr>
                </pic:nvPicPr>
                <pic:blipFill>
                  <a:blip r:embed="rId1"/>
                  <a:srcRect l="-127" t="-91" r="-127" b="-91"/>
                  <a:stretch>
                    <a:fillRect/>
                  </a:stretch>
                </pic:blipFill>
                <pic:spPr bwMode="auto">
                  <a:xfrm>
                    <a:off x="0" y="0"/>
                    <a:ext cx="7560310" cy="10689590"/>
                  </a:xfrm>
                  <a:prstGeom prst="rect">
                    <a:avLst/>
                  </a:prstGeom>
                  <a:ln w="635">
                    <a:solidFill>
                      <a:srgbClr val="000000"/>
                    </a:solidFill>
                  </a:ln>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Calibri" w:cs="" w:cstheme="minorBidi" w:eastAsiaTheme="minorHAnsi"/>
        <w:sz w:val="24"/>
        <w:szCs w:val="22"/>
        <w:lang w:val="pt-B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ARIAL" w:hAnsi="ARIAL" w:eastAsia="Calibri" w:cs="" w:cstheme="minorBidi" w:eastAsiaTheme="minorHAnsi"/>
      <w:color w:val="auto"/>
      <w:kern w:val="0"/>
      <w:sz w:val="24"/>
      <w:szCs w:val="22"/>
      <w:lang w:val="pt-BR" w:eastAsia="en-US" w:bidi="ar-SA"/>
    </w:rPr>
  </w:style>
  <w:style w:type="paragraph" w:styleId="Heading1">
    <w:name w:val="Heading 1"/>
    <w:basedOn w:val="Normal"/>
    <w:next w:val="Normal"/>
    <w:link w:val="Ttulo1Char"/>
    <w:uiPriority w:val="9"/>
    <w:qFormat/>
    <w:rsid w:val="00f95e56"/>
    <w:pPr>
      <w:keepNext w:val="true"/>
      <w:keepLines/>
      <w:spacing w:before="240" w:after="0"/>
      <w:outlineLvl w:val="0"/>
    </w:pPr>
    <w:rPr>
      <w:rFonts w:ascii="Calibri Light" w:hAnsi="Calibri Light" w:eastAsia="" w:cs="" w:asciiTheme="majorHAnsi" w:cstheme="majorBidi" w:eastAsiaTheme="majorEastAsia" w:hAnsiTheme="majorHAnsi"/>
      <w:color w:val="2F5496" w:themeColor="accent1" w:themeShade="bf"/>
      <w:sz w:val="32"/>
      <w:szCs w:val="32"/>
    </w:rPr>
  </w:style>
  <w:style w:type="paragraph" w:styleId="Heading3">
    <w:name w:val="Heading 3"/>
    <w:basedOn w:val="Heading"/>
    <w:next w:val="TextBody"/>
    <w:qFormat/>
    <w:pPr>
      <w:spacing w:before="140" w:after="120"/>
      <w:outlineLvl w:val="2"/>
    </w:pPr>
    <w:rPr>
      <w:rFonts w:ascii="Liberation Serif" w:hAnsi="Liberation Serif" w:eastAsia="DejaVu Sans" w:cs="DejaVu Sans"/>
      <w:b/>
      <w:bCs/>
      <w:sz w:val="28"/>
      <w:szCs w:val="28"/>
    </w:rPr>
  </w:style>
  <w:style w:type="paragraph" w:styleId="Heading4">
    <w:name w:val="Heading 4"/>
    <w:basedOn w:val="Heading"/>
    <w:next w:val="TextBody"/>
    <w:qFormat/>
    <w:pPr>
      <w:spacing w:before="120" w:after="120"/>
      <w:outlineLvl w:val="3"/>
    </w:pPr>
    <w:rPr>
      <w:rFonts w:ascii="Liberation Serif" w:hAnsi="Liberation Serif" w:eastAsia="DejaVu Sans" w:cs="DejaVu Sans"/>
      <w:b/>
      <w:bCs/>
      <w:sz w:val="24"/>
      <w:szCs w:val="24"/>
    </w:rPr>
  </w:style>
  <w:style w:type="character" w:styleId="DefaultParagraphFont" w:default="1">
    <w:name w:val="Default Paragraph Font"/>
    <w:uiPriority w:val="1"/>
    <w:semiHidden/>
    <w:unhideWhenUsed/>
    <w:qFormat/>
    <w:rPr/>
  </w:style>
  <w:style w:type="character" w:styleId="CabealhoChar" w:customStyle="1">
    <w:name w:val="Cabeçalho Char"/>
    <w:basedOn w:val="DefaultParagraphFont"/>
    <w:link w:val="Header"/>
    <w:uiPriority w:val="99"/>
    <w:qFormat/>
    <w:rsid w:val="00e53960"/>
    <w:rPr/>
  </w:style>
  <w:style w:type="character" w:styleId="RodapChar" w:customStyle="1">
    <w:name w:val="Rodapé Char"/>
    <w:basedOn w:val="DefaultParagraphFont"/>
    <w:link w:val="Footer"/>
    <w:uiPriority w:val="99"/>
    <w:qFormat/>
    <w:rsid w:val="00e53960"/>
    <w:rPr/>
  </w:style>
  <w:style w:type="character" w:styleId="Ttulo1Char" w:customStyle="1">
    <w:name w:val="Título 1 Char"/>
    <w:basedOn w:val="DefaultParagraphFont"/>
    <w:link w:val="Heading1"/>
    <w:uiPriority w:val="9"/>
    <w:qFormat/>
    <w:rsid w:val="00f95e56"/>
    <w:rPr>
      <w:rFonts w:ascii="Calibri Light" w:hAnsi="Calibri Light" w:eastAsia="" w:cs="" w:asciiTheme="majorHAnsi" w:cstheme="majorBidi" w:eastAsiaTheme="majorEastAsia" w:hAnsiTheme="majorHAnsi"/>
      <w:color w:val="2F5496" w:themeColor="accent1" w:themeShade="bf"/>
      <w:sz w:val="32"/>
      <w:szCs w:val="32"/>
    </w:rPr>
  </w:style>
  <w:style w:type="character" w:styleId="InternetLink">
    <w:name w:val="Hyperlink"/>
    <w:basedOn w:val="DefaultParagraphFont"/>
    <w:uiPriority w:val="99"/>
    <w:unhideWhenUsed/>
    <w:rsid w:val="00f95e56"/>
    <w:rPr>
      <w:color w:val="0563C1" w:themeColor="hyperlink"/>
      <w:u w:val="single"/>
    </w:rPr>
  </w:style>
  <w:style w:type="character" w:styleId="UnresolvedMention">
    <w:name w:val="Unresolved Mention"/>
    <w:basedOn w:val="DefaultParagraphFont"/>
    <w:uiPriority w:val="99"/>
    <w:semiHidden/>
    <w:unhideWhenUsed/>
    <w:qFormat/>
    <w:rsid w:val="00ac7dae"/>
    <w:rPr>
      <w:color w:val="605E5C"/>
      <w:shd w:fill="E1DFDD" w:val="clear"/>
    </w:rPr>
  </w:style>
  <w:style w:type="character" w:styleId="IndexLink">
    <w:name w:val="Index Link"/>
    <w:qFormat/>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FootnoteCharacters">
    <w:name w:val="Footnote Characters"/>
    <w:qFormat/>
    <w:rPr/>
  </w:style>
  <w:style w:type="character" w:styleId="EndnoteCharacters">
    <w:name w:val="Endnote Characters"/>
    <w:qFormat/>
    <w:rPr/>
  </w:style>
  <w:style w:type="character" w:styleId="VisitedInternetLink">
    <w:name w:val="FollowedHyperlink"/>
    <w:rPr>
      <w:color w:val="800000"/>
      <w:u w:val="single"/>
    </w:rPr>
  </w:style>
  <w:style w:type="paragraph" w:styleId="Heading">
    <w:name w:val="Heading"/>
    <w:basedOn w:val="Normal"/>
    <w:next w:val="TextBody"/>
    <w:qFormat/>
    <w:pPr>
      <w:keepNext w:val="true"/>
      <w:spacing w:before="240" w:after="120"/>
    </w:pPr>
    <w:rPr>
      <w:rFonts w:ascii="arial" w:hAnsi="arial" w:eastAsia="Noto Sans"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ascii="arial" w:hAnsi="arial" w:cs="FreeSans"/>
      <w:sz w:val="24"/>
    </w:rPr>
  </w:style>
  <w:style w:type="paragraph" w:styleId="Caption">
    <w:name w:val="Caption"/>
    <w:basedOn w:val="Normal"/>
    <w:qFormat/>
    <w:pPr>
      <w:suppressLineNumbers/>
      <w:spacing w:before="120" w:after="120"/>
    </w:pPr>
    <w:rPr>
      <w:rFonts w:ascii="arial" w:hAnsi="arial" w:cs="FreeSans"/>
      <w:i/>
      <w:iCs/>
      <w:sz w:val="24"/>
      <w:szCs w:val="24"/>
    </w:rPr>
  </w:style>
  <w:style w:type="paragraph" w:styleId="Index">
    <w:name w:val="Index"/>
    <w:basedOn w:val="Normal"/>
    <w:qFormat/>
    <w:pPr>
      <w:suppressLineNumbers/>
    </w:pPr>
    <w:rPr>
      <w:rFonts w:ascii="arial" w:hAnsi="arial" w:cs="FreeSans"/>
      <w:sz w:val="24"/>
    </w:rPr>
  </w:style>
  <w:style w:type="paragraph" w:styleId="HeaderandFooter">
    <w:name w:val="Header and Footer"/>
    <w:basedOn w:val="Normal"/>
    <w:qFormat/>
    <w:pPr/>
    <w:rPr/>
  </w:style>
  <w:style w:type="paragraph" w:styleId="Header">
    <w:name w:val="Header"/>
    <w:basedOn w:val="Normal"/>
    <w:link w:val="CabealhoChar"/>
    <w:uiPriority w:val="99"/>
    <w:unhideWhenUsed/>
    <w:rsid w:val="00e53960"/>
    <w:pPr>
      <w:tabs>
        <w:tab w:val="clear" w:pos="708"/>
        <w:tab w:val="center" w:pos="4252" w:leader="none"/>
        <w:tab w:val="right" w:pos="8504" w:leader="none"/>
      </w:tabs>
      <w:spacing w:lineRule="auto" w:line="240" w:before="0" w:after="0"/>
    </w:pPr>
    <w:rPr/>
  </w:style>
  <w:style w:type="paragraph" w:styleId="Footer">
    <w:name w:val="Footer"/>
    <w:basedOn w:val="Normal"/>
    <w:link w:val="RodapChar"/>
    <w:uiPriority w:val="99"/>
    <w:unhideWhenUsed/>
    <w:rsid w:val="00e53960"/>
    <w:pPr>
      <w:tabs>
        <w:tab w:val="clear" w:pos="708"/>
        <w:tab w:val="center" w:pos="4252" w:leader="none"/>
        <w:tab w:val="right" w:pos="8504" w:leader="none"/>
      </w:tabs>
      <w:spacing w:lineRule="auto" w:line="240" w:before="0" w:after="0"/>
    </w:pPr>
    <w:rPr/>
  </w:style>
  <w:style w:type="paragraph" w:styleId="ListParagraph">
    <w:name w:val="List Paragraph"/>
    <w:basedOn w:val="Normal"/>
    <w:uiPriority w:val="34"/>
    <w:qFormat/>
    <w:rsid w:val="001e7fe6"/>
    <w:pPr>
      <w:spacing w:before="0" w:after="160"/>
      <w:ind w:left="720" w:hanging="0"/>
      <w:contextualSpacing/>
    </w:pPr>
    <w:rPr/>
  </w:style>
  <w:style w:type="paragraph" w:styleId="Contents1">
    <w:name w:val="TOC 1"/>
    <w:basedOn w:val="Heading1"/>
    <w:next w:val="Normal"/>
    <w:autoRedefine/>
    <w:uiPriority w:val="39"/>
    <w:unhideWhenUsed/>
    <w:rsid w:val="00f95e56"/>
    <w:pPr>
      <w:tabs>
        <w:tab w:val="clear" w:pos="708"/>
        <w:tab w:val="right" w:pos="9061" w:leader="none"/>
      </w:tabs>
      <w:spacing w:before="360" w:after="0"/>
    </w:pPr>
    <w:rPr>
      <w:rFonts w:ascii="Arial" w:hAnsi="Arial" w:cs="Arial"/>
      <w:bCs/>
      <w:color w:val="auto"/>
      <w:sz w:val="24"/>
      <w:szCs w:val="24"/>
    </w:rPr>
  </w:style>
  <w:style w:type="paragraph" w:styleId="Tableoffigures">
    <w:name w:val="table of figures"/>
    <w:basedOn w:val="Normal"/>
    <w:next w:val="Normal"/>
    <w:autoRedefine/>
    <w:uiPriority w:val="99"/>
    <w:unhideWhenUsed/>
    <w:qFormat/>
    <w:rsid w:val="00f95e56"/>
    <w:pPr>
      <w:spacing w:before="0" w:after="0"/>
    </w:pPr>
    <w:rPr>
      <w:rFonts w:ascii="Arial" w:hAnsi="Arial"/>
    </w:rPr>
  </w:style>
  <w:style w:type="paragraph" w:styleId="Bibliography">
    <w:name w:val="Bibliography"/>
    <w:basedOn w:val="Normal"/>
    <w:next w:val="Normal"/>
    <w:uiPriority w:val="37"/>
    <w:unhideWhenUsed/>
    <w:qFormat/>
    <w:rsid w:val="00f95e56"/>
    <w:pPr/>
    <w:rPr/>
  </w:style>
  <w:style w:type="paragraph" w:styleId="Caption1">
    <w:name w:val="caption"/>
    <w:basedOn w:val="Normal"/>
    <w:next w:val="Normal"/>
    <w:uiPriority w:val="35"/>
    <w:unhideWhenUsed/>
    <w:qFormat/>
    <w:rsid w:val="00f95e56"/>
    <w:pPr>
      <w:spacing w:lineRule="auto" w:line="240" w:before="0" w:after="200"/>
    </w:pPr>
    <w:rPr>
      <w:i/>
      <w:iCs/>
      <w:color w:val="44546A" w:themeColor="text2"/>
      <w:sz w:val="18"/>
      <w:szCs w:val="18"/>
    </w:rPr>
  </w:style>
  <w:style w:type="paragraph" w:styleId="Contents2">
    <w:name w:val="TOC 2"/>
    <w:basedOn w:val="Normal"/>
    <w:next w:val="Normal"/>
    <w:autoRedefine/>
    <w:uiPriority w:val="39"/>
    <w:unhideWhenUsed/>
    <w:rsid w:val="00b76607"/>
    <w:pPr>
      <w:spacing w:before="0" w:after="100"/>
      <w:ind w:left="220" w:hanging="0"/>
    </w:pPr>
    <w:rPr/>
  </w:style>
  <w:style w:type="paragraph" w:styleId="FrameContents">
    <w:name w:val="Frame Contents"/>
    <w:basedOn w:val="Normal"/>
    <w:qFormat/>
    <w:pPr/>
    <w:rPr/>
  </w:style>
  <w:style w:type="paragraph" w:styleId="Quotations">
    <w:name w:val="Quotations"/>
    <w:basedOn w:val="Normal"/>
    <w:qFormat/>
    <w:pPr>
      <w:spacing w:before="0" w:after="283"/>
      <w:ind w:left="567" w:right="567" w:hanging="0"/>
    </w:pPr>
    <w:rPr/>
  </w:style>
  <w:style w:type="paragraph" w:styleId="TableContents">
    <w:name w:val="Table Contents"/>
    <w:basedOn w:val="Normal"/>
    <w:qFormat/>
    <w:pPr>
      <w:widowControl w:val="false"/>
      <w:suppressLineNumbers/>
    </w:pPr>
    <w:rPr/>
  </w:style>
  <w:style w:type="paragraph" w:styleId="IndexHeading">
    <w:name w:val="Index Heading"/>
    <w:basedOn w:val="Heading"/>
    <w:pPr>
      <w:suppressLineNumbers/>
      <w:ind w:left="0" w:hanging="0"/>
    </w:pPr>
    <w:rPr>
      <w:b/>
      <w:bCs/>
      <w:sz w:val="32"/>
      <w:szCs w:val="32"/>
    </w:rPr>
  </w:style>
  <w:style w:type="paragraph" w:styleId="ContentsHeading">
    <w:name w:val="TOC Heading"/>
    <w:basedOn w:val="IndexHeading"/>
    <w:pPr>
      <w:suppressLineNumbers/>
      <w:ind w:left="0" w:hanging="0"/>
    </w:pPr>
    <w:rPr>
      <w:b/>
      <w:bCs/>
      <w:sz w:val="32"/>
      <w:szCs w:val="32"/>
    </w:rPr>
  </w:style>
  <w:style w:type="paragraph" w:styleId="Contents3">
    <w:name w:val="TOC 3"/>
    <w:basedOn w:val="Index"/>
    <w:pPr>
      <w:tabs>
        <w:tab w:val="clear" w:pos="708"/>
        <w:tab w:val="right" w:pos="7937" w:leader="dot"/>
      </w:tabs>
      <w:ind w:left="567" w:hanging="0"/>
    </w:pPr>
    <w:rPr/>
  </w:style>
  <w:style w:type="paragraph" w:styleId="Contents4">
    <w:name w:val="TOC 4"/>
    <w:basedOn w:val="Index"/>
    <w:pPr>
      <w:tabs>
        <w:tab w:val="clear" w:pos="708"/>
        <w:tab w:val="right" w:pos="7654" w:leader="dot"/>
      </w:tabs>
      <w:ind w:left="850" w:hanging="0"/>
    </w:pPr>
    <w:rPr/>
  </w:style>
  <w:style w:type="paragraph" w:styleId="ListContents">
    <w:name w:val="List Contents"/>
    <w:basedOn w:val="Normal"/>
    <w:qFormat/>
    <w:pPr>
      <w:ind w:left="567" w:hanging="0"/>
    </w:pPr>
    <w:rPr/>
  </w:style>
  <w:style w:type="numbering" w:styleId="NoList" w:default="1">
    <w:name w:val="No List"/>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Simples4">
    <w:name w:val="Plain Table 4"/>
    <w:basedOn w:val="Tabelanormal"/>
    <w:uiPriority w:val="44"/>
    <w:rsid w:val="00f95e56"/>
    <w:pPr>
      <w:spacing w:after="0" w:line="240" w:lineRule="auto"/>
    </w:pPr>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header" Target="header4.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Relationship Id="rId15" Type="http://schemas.openxmlformats.org/officeDocument/2006/relationships/customXml" Target="../customXml/item2.xml"/><Relationship Id="rId16" Type="http://schemas.openxmlformats.org/officeDocument/2006/relationships/customXml" Target="../customXml/item3.xml"/><Relationship Id="rId17" Type="http://schemas.openxmlformats.org/officeDocument/2006/relationships/customXml" Target="../customXml/item4.xml"/>
<Relationship Id="rIdPN" Type="http://schemas.openxmlformats.org/officeDocument/2006/relationships/footer" Target="footer5.xml"/></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_rels/header4.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E980EF0F89EF4B8015516720277489" ma:contentTypeVersion="16" ma:contentTypeDescription="Crie um novo documento." ma:contentTypeScope="" ma:versionID="c8c5710161a3967bfd7bfe4453881972">
  <xsd:schema xmlns:xsd="http://www.w3.org/2001/XMLSchema" xmlns:xs="http://www.w3.org/2001/XMLSchema" xmlns:p="http://schemas.microsoft.com/office/2006/metadata/properties" xmlns:ns3="6c6bd698-9065-454b-a6db-0123aa22fda3" xmlns:ns4="db14c982-8719-40a0-975c-4b6e4bb2f161" targetNamespace="http://schemas.microsoft.com/office/2006/metadata/properties" ma:root="true" ma:fieldsID="ae02edab5d6eaf3f41e8eef1e94eb47f" ns3:_="" ns4:_="">
    <xsd:import namespace="6c6bd698-9065-454b-a6db-0123aa22fda3"/>
    <xsd:import namespace="db14c982-8719-40a0-975c-4b6e4bb2f16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3:MediaServiceAutoKeyPoints" minOccurs="0"/>
                <xsd:element ref="ns3:MediaServiceKeyPoints" minOccurs="0"/>
                <xsd:element ref="ns3:MediaLengthInSeconds"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6bd698-9065-454b-a6db-0123aa22fd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b14c982-8719-40a0-975c-4b6e4bb2f161"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element name="SharingHintHash" ma:index="12" nillable="true" ma:displayName="Hash de Dica de Compartilhamento"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b:Source>
    <b:Tag>ABN11</b:Tag>
    <b:SourceType>Report</b:SourceType>
    <b:Guid>{C67CCF05-77FC-41C8-81A5-F0431F053CB0}</b:Guid>
    <b:Title>Informação e Documentação - Trabalhos Acadêmicos</b:Title>
    <b:Year>2011</b:Year>
    <b:City>Rio de Janeiro</b:City>
    <b:Publisher>ABNT 2011</b:Publisher>
    <b:Author>
      <b:Author>
        <b:NameList>
          <b:Person>
            <b:Last>1</b:Last>
          </b:Person>
        </b:NameList>
      </b:Author>
    </b:Author>
    <b:RefOrder>2</b:RefOrder>
  </b:Source>
  <b:Source>
    <b:Tag>2</b:Tag>
    <b:SourceType>Report</b:SourceType>
    <b:Guid>{E447E9D9-E071-4BDF-A5F0-3EE3CE1F6F32}</b:Guid>
    <b:Author>
      <b:Author>
        <b:NameList>
          <b:Person>
            <b:Last>2</b:Last>
          </b:Person>
        </b:NameList>
      </b:Author>
    </b:Author>
    <b:Title>Metodologia aplicada às ciências: Diretrizes e normas para elaboração de trabalhos científicos</b:Title>
    <b:Year>2011</b:Year>
    <b:RefOrder>1</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_activity xmlns="6c6bd698-9065-454b-a6db-0123aa22fda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D8FB843-414F-4908-B74D-44FE004F36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6bd698-9065-454b-a6db-0123aa22fda3"/>
    <ds:schemaRef ds:uri="db14c982-8719-40a0-975c-4b6e4bb2f1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D2173C7-9848-4FA3-BFF0-81DB2F5FBC56}">
  <ds:schemaRefs>
    <ds:schemaRef ds:uri="http://schemas.openxmlformats.org/officeDocument/2006/bibliography"/>
  </ds:schemaRefs>
</ds:datastoreItem>
</file>

<file path=customXml/itemProps3.xml><?xml version="1.0" encoding="utf-8"?>
<ds:datastoreItem xmlns:ds="http://schemas.openxmlformats.org/officeDocument/2006/customXml" ds:itemID="{B576E185-1371-400C-B67C-DCF3BC4A6D8C}">
  <ds:schemaRefs>
    <ds:schemaRef ds:uri="http://schemas.microsoft.com/office/2006/metadata/properties"/>
    <ds:schemaRef ds:uri="http://schemas.microsoft.com/office/infopath/2007/PartnerControls"/>
    <ds:schemaRef ds:uri="6c6bd698-9065-454b-a6db-0123aa22fda3"/>
  </ds:schemaRefs>
</ds:datastoreItem>
</file>

<file path=customXml/itemProps4.xml><?xml version="1.0" encoding="utf-8"?>
<ds:datastoreItem xmlns:ds="http://schemas.openxmlformats.org/officeDocument/2006/customXml" ds:itemID="{A5D4C330-30D3-49F8-8A77-1A9B69B2DDD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456</TotalTime>
  <Application>LibreOffice/7.4.7.2$Linux_X86_64 LibreOffice_project/40$Build-2</Application>
  <AppVersion>15.0000</AppVersion>
  <Pages>21</Pages>
  <Words>3608</Words>
  <Characters>20813</Characters>
  <CharactersWithSpaces>24330</CharactersWithSpaces>
  <Paragraphs>142</Paragraphs>
  <Company>SESI SERVICO SOCIAL DA INDUSTRIADE MS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2023-10-03T19:22:00Z</dcterms:created>
  <dc:creator>Mel Alves Costa</dc:creator>
  <dc:description/>
  <dc:language>pt-BR</dc:language>
  <cp:lastModifiedBy/>
  <dcterms:modified xsi:type="dcterms:W3CDTF">2026-09-28T08:50:29Z</dcterms:modified>
  <cp:revision>42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0x01010012E980EF0F89EF4B8015516720277489</vt:lpwstr>
  </property>
</Properties>
</file>