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tiveram cronometradas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were timed in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3 – Vista explodida e em corte do redutor RED-001</w:t>
      </w:r>
      <w:r>
        <w:rPr>
          <w:sz w:val="24"/>
          <w:szCs w:val="24"/>
        </w:rPr>
        <w:tab/>
      </w:r>
      <w:r>
        <w:rPr>
          <w:sz w:val="24"/>
          <w:szCs w:val="24"/>
        </w:rPr>
        <w:fldChar w:fldCharType="begin"/>
      </w:r>
      <w:r>
        <w:rPr>
          <w:sz w:val="24"/>
          <w:szCs w:val="24"/>
        </w:rPr>
        <w:instrText xml:space="preserve"> PAGEREF pag35 \h </w:instrText>
      </w:r>
      <w:r>
        <w:rPr>
          <w:sz w:val="24"/>
          <w:szCs w:val="24"/>
        </w:rPr>
        <w:fldChar w:fldCharType="separate"/>
      </w:r>
      <w:r>
        <w:rPr>
          <w:sz w:val="24"/>
          <w:szCs w:val="24"/>
        </w:rPr>
        <w:t>34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4 – Componentes do redutor RED-001 e tags</w:t>
      </w:r>
      <w:r>
        <w:rPr>
          <w:sz w:val="24"/>
          <w:szCs w:val="24"/>
        </w:rPr>
        <w:tab/>
      </w:r>
      <w:r>
        <w:rPr>
          <w:sz w:val="24"/>
          <w:szCs w:val="24"/>
        </w:rPr>
        <w:fldChar w:fldCharType="begin"/>
      </w:r>
      <w:r>
        <w:rPr>
          <w:sz w:val="24"/>
          <w:szCs w:val="24"/>
        </w:rPr>
        <w:instrText xml:space="preserve"> PAGEREF pag36 \h </w:instrText>
      </w:r>
      <w:r>
        <w:rPr>
          <w:sz w:val="24"/>
          <w:szCs w:val="24"/>
        </w:rPr>
        <w:fldChar w:fldCharType="separate"/>
      </w:r>
      <w:r>
        <w:rPr>
          <w:sz w:val="24"/>
          <w:szCs w:val="24"/>
        </w:rPr>
        <w:t>35</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25</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NR</w:t>
      </w:r>
      <w:r>
        <w:rPr/>
        <w:tab/>
        <w:t>Norma Regulamentadora</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31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33</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D – COMPONENTES DO REDUTOR E TAGS</w:t>
      </w:r>
      <w:r>
        <w:rPr>
          <w:sz w:val="24"/>
          <w:szCs w:val="24"/>
        </w:rPr>
        <w:tab/>
      </w:r>
      <w:r>
        <w:rPr>
          <w:sz w:val="24"/>
          <w:szCs w:val="24"/>
        </w:rPr>
        <w:fldChar w:fldCharType="begin"/>
      </w:r>
      <w:r>
        <w:rPr>
          <w:sz w:val="24"/>
          <w:szCs w:val="24"/>
        </w:rPr>
        <w:instrText xml:space="preserve"> PAGEREF pag37 \h </w:instrText>
      </w:r>
      <w:r>
        <w:rPr>
          <w:sz w:val="24"/>
          <w:szCs w:val="24"/>
        </w:rPr>
        <w:fldChar w:fldCharType="separate"/>
      </w:r>
      <w:r>
        <w:rPr>
          <w:sz w:val="24"/>
          <w:szCs w:val="24"/>
        </w:rPr>
        <w:t>34</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o acionamento de uma pequena esteira transportadora.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Para Osada, os 5S organizam o ambiente de trabalho de modo que cada item necessário tenha um lugar definido e identificado, o que reduz o tempo perdido com procura.</w:t>
      </w:r>
      <w:r>
        <w:rPr>
          <w:vertAlign w:val="superscript"/>
        </w:rPr>
        <w:t>10</w:t>
      </w:r>
      <w:r>
        <w:rPr/>
        <w:t xml:space="preserve"> Galsworth descreve o local de trabalho visual como aquele que se explica e se regula por si mesmo, porque a informação necessária à tarefa é convertida em dispositivos visuais simples e colocada no ponto de uso.</w:t>
      </w:r>
      <w:r>
        <w:rPr>
          <w:vertAlign w:val="superscript"/>
        </w:rPr>
        <w:t>11</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12</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Pela estrutura do código e pelas tabelas do manual da linha coroa e rosca do fabricante,</w:t>
      </w:r>
      <w:r>
        <w:rPr>
          <w:vertAlign w:val="superscript"/>
        </w:rPr>
        <w:t>6</w:t>
      </w:r>
      <w:r>
        <w:rPr/>
        <w:t xml:space="preserve"> o redutor foi identificado como da linha Magma M, tamanho 06. Como não foi possível confirmar essa identificação com o fabricante, ela foi adotada como premissa do estudo, e os dados dela derivados, em especial o volume de óleo, devem ser conferidos antes de uma aplicação industrial.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(identificada pelo código da placa e pelo manual, sem confirmação do fabricante),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Fundida, pintada em azul sobre fundo vermelho, com sapatas de fixação ferro fundido (não é de alumínio, conforme verificado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Altura de 225 mm e largura da carcaça de 116 mm (medidas pela equipe com paquímetro); massa: 18,1 kg (pesado pela equipe sem óleo e sem os bujões de dreno e de nível)</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Como visto na seção 2.1.2, o volume de óleo da linha Magma M é o mesmo para todas as posições de trabalho (0,87 L no tamanho 06).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Troca conforme a temperatura do óleo: 15.000 h (80 °C); 10.000 h (85 °C); 7.500 h (90 °C). Avaliar o óleo nas primeiras 500 h. Inspeção visual: mensal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Tag RED-001-OLE-04; galão identificado pela cor laranja (código e cor fictícios, adotados como exemplo)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13</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regra validada com o professor; já o complemento e a troca, que exigem abrir o redutor, são feitos com o equipamento parado e bloqueado, como determina a NR-12 para as intervenções de manutenção em máquinas;</w:t>
      </w:r>
      <w:r>
        <w:rPr>
          <w:vertAlign w:val="superscript"/>
        </w:rPr>
        <w:t>14</w:t>
      </w:r>
      <w:r>
        <w:rPr/>
        <w:t xml:space="preserve">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O código OLE-04 e a cor laranja são fictícios, adotados como exemplo neste estudo; em uma implantação real, devem seguir o padrão de codificação e de cores do almoxarifado da empresa.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Normal"/>
        <w:widowControl/>
        <w:spacing w:lineRule="auto" w:line="360" w:before="0" w:after="120"/>
        <w:ind w:left="0" w:right="0" w:firstLine="709"/>
        <w:jc w:val="both"/>
        <w:rPr/>
      </w:pPr>
      <w:r>
        <w:rPr/>
        <w:t>Como a equipe não teve acesso ao manual de peças do fabricante, o mesmo modelo foi ampliado para servir de referência dos componentes do redutor. Na vista explodida, as peças se afastam da carcaça e recebem um número; ao tocar no número ou na peça, a ficha mostra o nome, o tipo, o material, a função, o que observar na inspeção e as falhas mais comuns, além do tag do componente, formado pelo tag do equipamento e pelo código da peça (por exemplo, RED-001-COR-01 para a coroa). Uma vista em corte deixa a carcaça transparente e mostra a coroa de bronze, a rosca sem fim, os rolamentos e os eixos. As peças externas foram desenhadas a partir das fotografias e das medidas do redutor da oficina; as internas seguem o arranjo usual de um redutor coroa e rosca e são ilustrativas, devendo ter quantidades, medidas e códigos confirmados em uma desmontagem. A vista explodida e a lista de componentes com os tags estão no Apêndice D (Figura 3 e Quadro 4).</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cada um executando a tarefa pelos dois métodos na oficina de mecânica do SENAI Três Lagoas, junto ao redutor. No método tradicional, o participante consultou a placa de identificação e o manual da linha coroa e rosca do fabricante, em PDF no celular, e registrou a intervenção em formulário de papel. No método com QR Code, escaneou a etiqueta impressa, afixada no próprio redutor,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visuais mensais de vazamento, ruído e temperatura da carcaça, o que resulta em 12 intervenções por ano,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e não há custo de linha de produção a considerar, foi quantificado o segundo cenário, com o custo da hora do mecânico obtido do salário médio do mecânico de manutenção de máquinas em geral (CBO 9113-05): R$ 3.150,00 por mês, para jornada de 44 horas semanais, segundo dados do Novo Caged reunidos pelo Portal Salário.</w:t>
      </w:r>
      <w:r>
        <w:rPr>
          <w:vertAlign w:val="superscript"/>
        </w:rPr>
        <w:t>15</w:t>
      </w:r>
      <w:r>
        <w:rPr/>
        <w:t xml:space="preserve"> Dividido por 220 horas mensais, esse salário corresponde a cerca de R$ 14,32 por hora; como os encargos trabalhistas não foram somados, a estimativa é conservadora.</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12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OSADA, T. </w:t>
      </w:r>
      <w:r>
        <w:rPr>
          <w:b/>
          <w:bCs/>
        </w:rPr>
        <w:t>Housekeeping, 5S</w:t>
      </w:r>
      <w:r>
        <w:rPr/>
        <w:t>: seiri, seiton, seiso, seiketsu, shitsuke. São Paulo: Instituto IMAM, 1992.</w:t>
      </w:r>
    </w:p>
    <w:p>
      <w:pPr>
        <w:pStyle w:val="Normal"/>
        <w:spacing w:lineRule="auto" w:line="240" w:before="0" w:after="240"/>
        <w:jc w:val="left"/>
        <w:rPr/>
      </w:pPr>
      <w:r>
        <w:rPr/>
        <w:t xml:space="preserve">11. GALSWORTH, G. D. </w:t>
      </w:r>
      <w:r>
        <w:rPr>
          <w:b/>
          <w:bCs/>
        </w:rPr>
        <w:t>Visual workplace visual thinking</w:t>
      </w:r>
      <w:r>
        <w:rPr/>
        <w:t>: creating enterprise excellence through the technologies of the visual workplace. 2. ed. New York: Productivity Press, 2017.</w:t>
      </w:r>
    </w:p>
    <w:p>
      <w:pPr>
        <w:pStyle w:val="Normal"/>
        <w:spacing w:lineRule="auto" w:line="240" w:before="0" w:after="240"/>
        <w:jc w:val="left"/>
        <w:rPr/>
      </w:pPr>
      <w:r>
        <w:rPr/>
        <w:t xml:space="preserve">12.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13. BRASIL. Conselho Nacional do Meio Ambiente. </w:t>
      </w:r>
      <w:r>
        <w:rPr>
          <w:b/>
          <w:bCs/>
        </w:rPr>
        <w:t>Resolução CONAMA nº 362, de 23 de junho de 2005</w:t>
      </w:r>
      <w:r>
        <w:rPr/>
        <w:t>. Dispõe sobre o recolhimento, coleta e destinação final de óleo lubrificante usado ou contaminado. Brasília, DF: CONAMA, 2005.</w:t>
      </w:r>
    </w:p>
    <w:p>
      <w:pPr>
        <w:pStyle w:val="Normal"/>
        <w:spacing w:lineRule="auto" w:line="240" w:before="0" w:after="240"/>
        <w:jc w:val="left"/>
        <w:rPr/>
      </w:pPr>
      <w:r>
        <w:rPr/>
        <w:t xml:space="preserve">14. BRASIL. Ministério do Trabalho e Emprego. </w:t>
      </w:r>
      <w:r>
        <w:rPr>
          <w:b/>
          <w:bCs/>
        </w:rPr>
        <w:t>NR 12</w:t>
      </w:r>
      <w:r>
        <w:rPr/>
        <w:t>: segurança no trabalho em máquinas e equipamentos. Brasília, DF: MTE, 2019.</w:t>
      </w:r>
    </w:p>
    <w:p>
      <w:pPr>
        <w:pStyle w:val="Normal"/>
        <w:spacing w:lineRule="auto" w:line="240" w:before="0" w:after="240"/>
        <w:jc w:val="left"/>
        <w:rPr/>
      </w:pPr>
      <w:r>
        <w:rPr/>
        <w:t xml:space="preserve">15. PORTAL SALÁRIO. </w:t>
      </w:r>
      <w:r>
        <w:rPr>
          <w:b/>
          <w:bCs/>
        </w:rPr>
        <w:t>Mecânico de manutenção de máquinas em geral</w:t>
      </w:r>
      <w:r>
        <w:rPr/>
        <w:t>: salário 2026 (CBO 9113-05). [S. l.]: Salario.com.br, 2026. Disponível em: https://www.salario.com.br/profissao/mecanico-de-manutencao-de-maquinas-em-geral-cbo-911305/. Acesso em: 19 out. 2026.</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A etiqueta não deve ser colada sobre a placa de identificação do fabricante, sobre o respiro ou os bujões, nem em regiões que esquentam ou recebem respingos de óleo. No redutor estudado, a etiqueta foi fixada na parte superior da face oposta ao motor (face da tampa cega), que é lisa e fica visível, no mesmo ponto indicado no modelo tridimensional da ficha digital; em outros equipamentos, pode-se usar uma plaqueta de alumínio presa junto à fixação, em local de fácil acesso. Na cronometragem, a etiqueta foi impressa em papel, plastificada e colada com fita dupla-face.</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12</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spacing w:lineRule="auto" w:line="360" w:before="0" w:after="360"/>
        <w:jc w:val="center"/>
        <w:rPr>
          <w:b/>
          <w:b/>
          <w:bCs/>
        </w:rPr>
      </w:pPr>
      <w:bookmarkStart w:id="35" w:name="pag37"/>
      <w:bookmarkEnd w:id="35"/>
      <w:r>
        <w:rPr>
          <w:b/>
          <w:bCs/>
        </w:rPr>
        <w:t>APÊNDICE D – COMPONENTES DO REDUTOR E TAGS</w:t>
      </w:r>
    </w:p>
    <w:p>
      <w:pPr>
        <w:pStyle w:val="Normal"/>
        <w:widowControl/>
        <w:spacing w:lineRule="auto" w:line="360" w:before="0" w:after="120"/>
        <w:ind w:left="0" w:right="0" w:firstLine="709"/>
        <w:jc w:val="both"/>
        <w:rPr/>
      </w:pPr>
      <w:r>
        <w:rPr/>
        <w:t>Sem o manual de peças do fabricante, os componentes do redutor RED-001 foram identificados no modelo tridimensional da ficha digital. A Figura 3 mostra o modelo em vista explodida, com os componentes numerados, e em corte; o Quadro 4 relaciona cada número ao componente e ao seu tag. O tag completo de cada componente é formado pelo tag do equipamento seguido do código da peça, por exemplo RED-001-COR-01.</w:t>
      </w:r>
    </w:p>
    <w:p>
      <w:pPr>
        <w:pStyle w:val="Normal"/>
        <w:keepNext w:val="true"/>
        <w:spacing w:lineRule="auto" w:line="240" w:before="200" w:after="80"/>
        <w:jc w:val="center"/>
        <w:rPr>
          <w:b/>
          <w:b/>
          <w:bCs/>
          <w:sz w:val="20"/>
          <w:szCs w:val="20"/>
        </w:rPr>
      </w:pPr>
      <w:bookmarkStart w:id="36" w:name="pag35"/>
      <w:bookmarkEnd w:id="36"/>
      <w:r>
        <w:rPr>
          <w:b/>
          <w:bCs/>
          <w:sz w:val="20"/>
          <w:szCs w:val="20"/>
        </w:rPr>
        <w:t>Figura 3 – Modelo tridimensional do redutor RED-001: vista explodida com os componentes numerados (à esquerda) e vista em corte, com a carcaça transparente (à direita)</w:t>
      </w:r>
    </w:p>
    <w:p>
      <w:pPr>
        <w:pStyle w:val="Normal"/>
        <w:spacing w:lineRule="auto" w:line="240" w:before="0" w:after="0"/>
        <w:ind w:left="0" w:right="0" w:hanging="0"/>
        <w:jc w:val="center"/>
        <w:rPr/>
      </w:pPr>
      <w:r>
        <w:rPr/>
        <w:drawing>
          <wp:inline distT="0" distB="0" distL="0" distR="0">
            <wp:extent cx="3128645" cy="2447925"/>
            <wp:effectExtent l="0" t="0" r="0" b="0"/>
            <wp:docPr id="7" name="Explodida"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xplodida" descr=""/>
                    <pic:cNvPicPr>
                      <a:picLocks noChangeAspect="1" noChangeArrowheads="1"/>
                    </pic:cNvPicPr>
                  </pic:nvPicPr>
                  <pic:blipFill>
                    <a:blip r:embed="rId8"/>
                    <a:stretch>
                      <a:fillRect/>
                    </a:stretch>
                  </pic:blipFill>
                  <pic:spPr bwMode="auto">
                    <a:xfrm>
                      <a:off x="0" y="0"/>
                      <a:ext cx="3128645" cy="2447925"/>
                    </a:xfrm>
                    <a:prstGeom prst="rect">
                      <a:avLst/>
                    </a:prstGeom>
                    <a:ln w="6350">
                      <a:solidFill>
                        <a:srgbClr val="808080"/>
                      </a:solidFill>
                    </a:ln>
                  </pic:spPr>
                </pic:pic>
              </a:graphicData>
            </a:graphic>
          </wp:inline>
        </w:drawing>
      </w:r>
      <w:r>
        <w:rPr/>
        <w:t xml:space="preserve">  </w:t>
      </w:r>
      <w:r>
        <w:rPr/>
        <w:drawing>
          <wp:inline distT="0" distB="0" distL="0" distR="0">
            <wp:extent cx="2435225" cy="2447925"/>
            <wp:effectExtent l="0" t="0" r="0" b="0"/>
            <wp:docPr id="8" name="Cort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rte" descr=""/>
                    <pic:cNvPicPr>
                      <a:picLocks noChangeAspect="1" noChangeArrowheads="1"/>
                    </pic:cNvPicPr>
                  </pic:nvPicPr>
                  <pic:blipFill>
                    <a:blip r:embed="rId9"/>
                    <a:stretch>
                      <a:fillRect/>
                    </a:stretch>
                  </pic:blipFill>
                  <pic:spPr bwMode="auto">
                    <a:xfrm>
                      <a:off x="0" y="0"/>
                      <a:ext cx="2435225" cy="24479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keepNext w:val="true"/>
        <w:spacing w:lineRule="auto" w:line="240" w:before="200" w:after="80"/>
        <w:jc w:val="center"/>
        <w:rPr>
          <w:b/>
          <w:b/>
          <w:bCs/>
          <w:sz w:val="20"/>
          <w:szCs w:val="20"/>
        </w:rPr>
      </w:pPr>
      <w:bookmarkStart w:id="37" w:name="pag36"/>
      <w:bookmarkEnd w:id="37"/>
      <w:r>
        <w:rPr>
          <w:b/>
          <w:bCs/>
          <w:sz w:val="20"/>
          <w:szCs w:val="20"/>
        </w:rPr>
        <w:t>Quadro 4 – Componentes do redutor RED-001 e tags</w:t>
      </w:r>
    </w:p>
    <w:tbl>
      <w:tblPr>
        <w:tblW w:w="9071" w:type="dxa"/>
        <w:jc w:val="left"/>
        <w:tblInd w:w="0" w:type="dxa"/>
        <w:tblLayout w:type="fixed"/>
        <w:tblCellMar>
          <w:top w:w="70" w:type="dxa"/>
          <w:left w:w="100" w:type="dxa"/>
          <w:bottom w:w="70" w:type="dxa"/>
          <w:right w:w="100" w:type="dxa"/>
        </w:tblCellMar>
      </w:tblPr>
      <w:tblGrid>
        <w:gridCol w:w="2267"/>
        <w:gridCol w:w="1701"/>
        <w:gridCol w:w="1275"/>
        <w:gridCol w:w="3828"/>
      </w:tblGrid>
      <w:tr>
        <w:trPr>
          <w:tblHeader w:val="true"/>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Nº</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Componente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Tag</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Material e função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Carcaça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Ferro fundido pintado; aloja os eixos e guarda o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de identificação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PLC-01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metálica rebitada; identifica série, código, redução e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Respiro (enchimento)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RSP-01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Latão; alivia a pressão interna e serve de furo de enchimento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nível</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NIV-01, NIV-02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o NIV-02 (do meio) indica o nível na posição adotada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dreno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DRE-01, DRE-02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escoamento do óleo na troca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6</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Bronze com cubo de aço; engrenagem movida da redução 1:25</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7</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Chaveta da 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CHV-01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trava a coroa no eixo de saída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8</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Eixo de saída vazado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entrega o movimento reduzido (70 rpm) à máquina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9</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do eixo de saída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ROL-01, ROL-02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o eixo de saída dos dois lados da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10</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Rosca sem fim / eixo de entrada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RSF-01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recebe o giro do motor (1.750 rpm) e aciona 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da rosca sem fim</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ROL-03, ROL-04</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a rosca e o esforço axial</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RET-01 a RET-03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Borracha nitrílica com armação de aço; vedam a passagem dos eixos</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TMP-01 a TMP-03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 do eixo de saída, tampa cega da rosca e tampa central da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Parafusos das 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PAR-01 a PAR-10</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fixam as tampas (6 na tampa do eixo de saída e 4 na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Etiqueta com QR Code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QR-01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Papel plastificado; abre a ficha digital do redutor</w:t>
            </w:r>
          </w:p>
        </w:tc>
      </w:tr>
    </w:tbl>
    <w:p>
      <w:pPr>
        <w:pStyle w:val="Normal"/>
        <w:spacing w:lineRule="auto" w:line="240" w:before="60" w:after="200"/>
        <w:jc w:val="center"/>
        <w:rPr>
          <w:sz w:val="20"/>
          <w:szCs w:val="20"/>
        </w:rPr>
      </w:pPr>
      <w:r>
        <w:rPr>
          <w:sz w:val="20"/>
          <w:szCs w:val="20"/>
        </w:rPr>
        <w:t>Fonte: Elaborado pelos autores (2026). Numeração igual à da Figura 3. Componentes internos (6 a 12) ilustrativos, a confirmar na desmontagem.</w:t>
      </w:r>
    </w:p>
    <w:sectPr>
      <w:headerReference w:type="default" r:id="rId10"/>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6">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2">
          <wp:simplePos x="0" y="0"/>
          <wp:positionH relativeFrom="page">
            <wp:posOffset>0</wp:posOffset>
          </wp:positionH>
          <wp:positionV relativeFrom="page">
            <wp:posOffset>0</wp:posOffset>
          </wp:positionV>
          <wp:extent cx="7560310" cy="10692130"/>
          <wp:effectExtent l="0" t="0" r="0" b="0"/>
          <wp:wrapNone/>
          <wp:docPr id="9"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35</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