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4"/>
          <w:szCs w:val="24"/>
        </w:rPr>
        <w:t xml:space="preserve">Projeto Integrador apresentado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0"/>
        <w:ind w:left="4535" w:right="0" w:hanging="0"/>
        <w:rPr/>
      </w:pPr>
      <w:r>
        <w:rPr>
          <w:sz w:val="24"/>
          <w:szCs w:val="24"/>
        </w:rPr>
        <w:t xml:space="preserve">Orientador(a): </w:t>
      </w:r>
      <w:r>
        <w:rPr>
          <w:sz w:val="24"/>
          <w:szCs w:val="24"/>
          <w:shd w:fill="FFFF00" w:val="clear"/>
        </w:rPr>
        <w:t>[NOME DO ORIENTADOR]</w:t>
      </w:r>
    </w:p>
    <w:p>
      <w:pPr>
        <w:pStyle w:val="Normal"/>
        <w:spacing w:lineRule="auto" w:line="360" w:before="374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4"/>
          <w:szCs w:val="24"/>
        </w:rPr>
        <w:t xml:space="preserve">Projeto Integrador apresentado, avaliado e aprovado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240"/>
        <w:ind w:left="4535" w:right="0" w:hanging="0"/>
        <w:rPr/>
      </w:pPr>
      <w:r>
        <w:rPr>
          <w:sz w:val="24"/>
          <w:szCs w:val="24"/>
        </w:rPr>
        <w:t xml:space="preserve">Orientador(a): </w:t>
      </w:r>
      <w:r>
        <w:rPr>
          <w:sz w:val="24"/>
          <w:szCs w:val="24"/>
          <w:shd w:fill="FFFF00" w:val="clear"/>
        </w:rPr>
        <w:t>[NOME DO ORIENTADOR]</w:t>
      </w:r>
    </w:p>
    <w:p>
      <w:pPr>
        <w:pStyle w:val="Normal"/>
        <w:spacing w:lineRule="auto" w:line="240" w:before="72" w:after="200"/>
        <w:ind w:left="4535" w:right="0" w:hanging="0"/>
        <w:rPr/>
      </w:pPr>
      <w:r>
        <w:rPr/>
        <w:t>Aprovado em: ___ / ___ / _____</w:t>
      </w:r>
    </w:p>
    <w:p>
      <w:pPr>
        <w:pStyle w:val="Normal"/>
        <w:spacing w:lineRule="auto" w:line="360" w:before="648" w:after="400"/>
        <w:jc w:val="center"/>
        <w:rPr>
          <w:b/>
          <w:b/>
          <w:bCs/>
        </w:rPr>
      </w:pPr>
      <w:r>
        <w:rPr>
          <w:b/>
          <w:bCs/>
        </w:rPr>
        <w:t>BANCA EXAMINADORA: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spacing w:lineRule="auto" w:line="360" w:before="13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240" w:before="0" w:after="216"/>
        <w:jc w:val="left"/>
        <w:rPr>
          <w:b/>
          <w:b/>
          <w:bCs/>
        </w:rPr>
      </w:pPr>
      <w:r>
        <w:rPr>
          <w:b/>
          <w:bCs/>
        </w:rPr>
        <w:t>RESUMO</w:t>
      </w:r>
    </w:p>
    <w:p>
      <w:pPr>
        <w:pStyle w:val="Normal"/>
        <w:spacing w:lineRule="auto" w:line="240" w:before="0" w:after="86"/>
        <w:ind w:left="0" w:right="0" w:hanging="0"/>
        <w:jc w:val="both"/>
        <w:rPr/>
      </w:pPr>
      <w:r>
        <w:rPr/>
        <w:t>Este trabalho apresenta o desenvolvimento e a avaliação de um sistema digital, baseado em QR Code, para apoiar o mecânico na identificação e na aplicação correta do lubrificante em um redutor de velocidade de coroa e rosca sem fim WEG-Cestari, da linha Magma M, com relação de transmissão 1:25, lubrificado por imersão em óleo sintético PAO ISO VG 460 e pertencente à oficina de mecânica do SENAI Três Lagoas.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ou pelo tablet, a uma ficha objetiva com os dados de lubrificação, alertas de segurança, passo a passo da troca com fotografias do próprio redutor, modelo tridimensional com os pontos de lubrificação, conferência do galão de óleo e registro da intervenção. Os dados do redutor foram obtidos da placa de identificação, do manual do fabricante e do levantamento feito no próprio equipamento, e o ganho de tempo foi avaliado por cronometragem em ambiente didático: cinco participantes tiveram cronometrado o tempo total das etapas de identificação do lubrificante, localização dos pontos e registro, consultando a placa e o manual do fabricante (método tradicional) e a ficha acessada pelo QR Code. Os dados permitem calcular a redução percentual do tempo, o ganho anual e uma estimativa de retorno financeiro, relacionando-os ao tempo de execução da manutenção preventiva e aos princípios da Manutenção Produtiva Total. O tempo médio caiu de 10 min 37 s no método tradicional para 2 min 58 s com o QR Code, redução de 72,0 %, e todos os participantes foram mais rápidos com a ficha; o ganho estimado é de cerca de 1,53 h e R$ 21,91 por ano por redutor, valor que cresce com o número de equipamentos atendidos.</w:t>
      </w:r>
    </w:p>
    <w:p>
      <w:pPr>
        <w:pStyle w:val="Normal"/>
        <w:spacing w:lineRule="auto" w:line="240" w:before="86" w:after="0"/>
        <w:rPr/>
      </w:pPr>
      <w:r>
        <w:rPr>
          <w:b/>
          <w:bCs/>
        </w:rPr>
        <w:t xml:space="preserve">PALAVRAS-CHAVE: </w:t>
      </w:r>
      <w:r>
        <w:rPr/>
        <w:t>lubrificação; QR Code; manutenção preventiva; redutor de coroa e rosca sem fim; TPM.</w:t>
      </w:r>
      <w:r>
        <w:br w:type="page"/>
      </w:r>
    </w:p>
    <w:p>
      <w:pPr>
        <w:pStyle w:val="Normal"/>
        <w:spacing w:lineRule="auto" w:line="240" w:before="0" w:after="216"/>
        <w:jc w:val="left"/>
        <w:rPr>
          <w:b/>
          <w:b/>
          <w:bCs/>
        </w:rPr>
      </w:pPr>
      <w:r>
        <w:rPr>
          <w:b/>
          <w:bCs/>
        </w:rPr>
        <w:t>ABSTRACT</w:t>
      </w:r>
    </w:p>
    <w:p>
      <w:pPr>
        <w:pStyle w:val="Normal"/>
        <w:spacing w:lineRule="auto" w:line="240" w:before="0" w:after="86"/>
        <w:ind w:left="0" w:right="0" w:hanging="0"/>
        <w:jc w:val="both"/>
        <w:rPr/>
      </w:pPr>
      <w:r>
        <w:rPr/>
        <w:t>This work presents the development and evaluation of a QR Code-based digital system to support mechanics in identifying and correctly applying the lubricant of a WEG-Cestari Magma M worm gear reducer, with a 1:25 ratio, oil-bath lubricated with ISO VG 460 synthetic PAO oil, belonging to the mechanical workshop of SENAI Três Lagoas.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or tablet, to a concise data sheet with lubrication data, safety alerts, a step-by-step oil change guide with photographs of the reducer itself, a three-dimensional model showing the lubrication points, an oil container check and an intervention record. The reducer data were obtained from its nameplate, from the manufacturer's manual and from a survey of the equipment itself, and the time gain was assessed by time measurements in a teaching environment: five participants had the total time of the identification, point location and recording steps measured, consulting the nameplate and the manufacturer's manual (traditional method) and the data sheet accessed by the QR Code. The data allow the calculation of the percentage time reduction, the annual gain and an estimate of financial return, relating them to the execution time of preventive maintenance and to the principles of Total Productive Maintenance. The mean time fell from 10 min 37 s with the traditional method to 2 min 58 s with the QR Code, a 72.0 % reduction, and all participants were faster with the data sheet; the estimated gain is about 1.53 h and R$ 21.91 per year per reducer, a value that grows with the number of equipment items covered.</w:t>
      </w:r>
    </w:p>
    <w:p>
      <w:pPr>
        <w:pStyle w:val="Normal"/>
        <w:spacing w:lineRule="auto" w:line="240" w:before="86" w:after="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estudado</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Medição da carcaça do redutor com paquímetro</w:t>
      </w:r>
      <w:r>
        <w:rPr>
          <w:sz w:val="24"/>
          <w:szCs w:val="24"/>
        </w:rPr>
        <w:tab/>
      </w:r>
      <w:r>
        <w:rPr>
          <w:sz w:val="24"/>
          <w:szCs w:val="24"/>
        </w:rPr>
        <w:fldChar w:fldCharType="begin"/>
      </w:r>
      <w:r>
        <w:rPr>
          <w:sz w:val="24"/>
          <w:szCs w:val="24"/>
        </w:rPr>
        <w:instrText xml:space="preserve"> PAGEREF pagfig1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RED-001</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2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34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3 – Vista explodida e em corte do redutor RED-001</w:t>
      </w:r>
      <w:r>
        <w:rPr>
          <w:sz w:val="24"/>
          <w:szCs w:val="24"/>
        </w:rPr>
        <w:tab/>
      </w:r>
      <w:r>
        <w:rPr>
          <w:sz w:val="24"/>
          <w:szCs w:val="24"/>
        </w:rPr>
        <w:fldChar w:fldCharType="begin"/>
      </w:r>
      <w:r>
        <w:rPr>
          <w:sz w:val="24"/>
          <w:szCs w:val="24"/>
        </w:rPr>
        <w:instrText xml:space="preserve"> PAGEREF pag35 \h </w:instrText>
      </w:r>
      <w:r>
        <w:rPr>
          <w:sz w:val="24"/>
          <w:szCs w:val="24"/>
        </w:rPr>
        <w:fldChar w:fldCharType="separate"/>
      </w:r>
      <w:r>
        <w:rPr>
          <w:sz w:val="24"/>
          <w:szCs w:val="24"/>
        </w:rPr>
        <w:t>35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4 – Componentes do redutor RED-001 e tags</w:t>
      </w:r>
      <w:r>
        <w:rPr>
          <w:sz w:val="24"/>
          <w:szCs w:val="24"/>
        </w:rPr>
        <w:tab/>
      </w:r>
      <w:r>
        <w:rPr>
          <w:sz w:val="24"/>
          <w:szCs w:val="24"/>
        </w:rPr>
        <w:fldChar w:fldCharType="begin"/>
      </w:r>
      <w:r>
        <w:rPr>
          <w:sz w:val="24"/>
          <w:szCs w:val="24"/>
        </w:rPr>
        <w:instrText xml:space="preserve"> PAGEREF pag36 \h </w:instrText>
      </w:r>
      <w:r>
        <w:rPr>
          <w:sz w:val="24"/>
          <w:szCs w:val="24"/>
        </w:rPr>
        <w:fldChar w:fldCharType="separate"/>
      </w:r>
      <w:r>
        <w:rPr>
          <w:sz w:val="24"/>
          <w:szCs w:val="24"/>
        </w:rPr>
        <w:t>36</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 total da tarefa por participante nos dois métodos</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Resumo dos tempos por método</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Ganho de tempo e custo evitado por ano, por redutor</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26</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NR</w:t>
      </w:r>
      <w:r>
        <w:rPr/>
        <w:tab/>
        <w:t>Norma Regulamentadora</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30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32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33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34</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D – COMPONENTES DO REDUTOR E TAGS</w:t>
      </w:r>
      <w:r>
        <w:rPr>
          <w:sz w:val="24"/>
          <w:szCs w:val="24"/>
        </w:rPr>
        <w:tab/>
      </w:r>
      <w:r>
        <w:rPr>
          <w:sz w:val="24"/>
          <w:szCs w:val="24"/>
        </w:rPr>
        <w:fldChar w:fldCharType="begin"/>
      </w:r>
      <w:r>
        <w:rPr>
          <w:sz w:val="24"/>
          <w:szCs w:val="24"/>
        </w:rPr>
        <w:instrText xml:space="preserve"> PAGEREF pag37 \h </w:instrText>
      </w:r>
      <w:r>
        <w:rPr>
          <w:sz w:val="24"/>
          <w:szCs w:val="24"/>
        </w:rPr>
        <w:fldChar w:fldCharType="separate"/>
      </w:r>
      <w:r>
        <w:rPr>
          <w:sz w:val="24"/>
          <w:szCs w:val="24"/>
        </w:rPr>
        <w:t>35</w:t>
      </w:r>
      <w:r>
        <w:rPr>
          <w:sz w:val="24"/>
          <w:szCs w:val="24"/>
        </w:rPr>
        <w:fldChar w:fldCharType="end"/>
      </w:r>
      <w:r>
        <w:br w:type="page"/>
      </w:r>
    </w:p>
    <w:p>
      <w:pPr>
        <w:pStyle w:val="Heading1"/>
        <w:rPr/>
      </w:pPr>
      <w:bookmarkStart w:id="0" w:name="pag08"/>
      <w:bookmarkEnd w:id="0"/>
      <w:r>
        <w:rPr/>
        <w:t>1</w:t>
        <w:tab/>
        <w:t>INTRODUÇÃO</w:t>
      </w:r>
    </w:p>
    <w:p>
      <w:pPr>
        <w:pStyle w:val="Normal"/>
        <w:widowControl/>
        <w:spacing w:lineRule="auto" w:line="360" w:before="0" w:after="12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120"/>
        <w:ind w:left="0" w:right="0" w:firstLine="709"/>
        <w:jc w:val="both"/>
        <w:rPr/>
      </w:pPr>
      <w:r>
        <w:rPr/>
        <w:t>O uso de lubrificantes é muito antigo. Pinturas egípcias de cerca de 1880 a.C. mostram um trabalhador derramando um líquido à frente do trenó que transportava uma estátua, para reduzir o atrito, e gorduras animais já eram aplicadas nos eixos de carros de tração por volta de 1400 a.C.</w:t>
      </w:r>
      <w:r>
        <w:rPr>
          <w:vertAlign w:val="superscript"/>
        </w:rPr>
        <w:t>2</w:t>
      </w:r>
      <w:r>
        <w:rPr/>
        <w:t xml:space="preserve"> Até o século XIX, os lubrificantes eram principalmente gorduras animais e óleos vegetais; os óleos minerais, derivados do petróleo, só se difundiram a partir da segunda metade daquele século, acompanhando a mecanização da indústria.</w:t>
      </w:r>
      <w:r>
        <w:rPr>
          <w:vertAlign w:val="superscript"/>
        </w:rPr>
        <w:t>2</w:t>
      </w:r>
    </w:p>
    <w:p>
      <w:pPr>
        <w:pStyle w:val="Normal"/>
        <w:widowControl/>
        <w:spacing w:lineRule="auto" w:line="360" w:before="0" w:after="120"/>
        <w:ind w:left="0" w:right="0" w:firstLine="709"/>
        <w:jc w:val="both"/>
        <w:rPr/>
      </w:pPr>
      <w:r>
        <w:rPr/>
        <w:t>Nas fábricas de papel e celulose, a lubrificação acompanhou essa evolução. Por muito tempo, ela dependeu do trabalho manual do lubrificador, que percorria a fábrica aplicando óleo e graxa ponto a ponto. Mesmo nos primeiros sistemas de circulação de óleo das máquinas de papel, que chegam a ter cerca de 500 pontos de lubrificação nos mancais de cilindros e rolos, a vazão de cada ponto era ajustada à mão em painéis instalados no porão, sob a máquina, e qualquer mudança nas condições de operação exigia nova regulagem, ponto a ponto.</w:t>
      </w:r>
      <w:r>
        <w:rPr>
          <w:vertAlign w:val="superscript"/>
        </w:rPr>
        <w:t>3</w:t>
      </w:r>
      <w:r>
        <w:rPr/>
        <w:t xml:space="preserve"> Hoje, as máquinas modernas empregam circulação de óleo nas seções de prensas e de secagem e graxa nas seções de formação,</w:t>
      </w:r>
      <w:r>
        <w:rPr>
          <w:vertAlign w:val="superscript"/>
        </w:rPr>
        <w:t>4</w:t>
      </w:r>
      <w:r>
        <w:rPr/>
        <w:t xml:space="preserve"> com sistemas que monitoram e controlam a lubrificação de forma automática.</w:t>
      </w:r>
      <w:r>
        <w:rPr>
          <w:vertAlign w:val="superscript"/>
        </w:rPr>
        <w:t>3</w:t>
      </w:r>
    </w:p>
    <w:p>
      <w:pPr>
        <w:pStyle w:val="Normal"/>
        <w:widowControl/>
        <w:spacing w:lineRule="auto" w:line="360" w:before="0" w:after="120"/>
        <w:ind w:left="0" w:right="0" w:firstLine="709"/>
        <w:jc w:val="both"/>
        <w:rPr/>
      </w:pPr>
      <w:r>
        <w:rPr/>
        <w:t>Em Três Lagoas, a indústria de celulose é recente: a primeira grande fábrica, da Fibria (atual Suzano), instalou-se em 2009, com capacidade de 1,3 milhão de toneladas de celulose por ano, e a Eldorado Brasil começou a operar em 2012, com capacidade de 1,7 milhão de toneladas; em 2021, a Lei nº 14.142 conferiu ao município o título de Capital Nacional da Celulose.</w:t>
      </w:r>
      <w:r>
        <w:rPr>
          <w:vertAlign w:val="superscript"/>
        </w:rPr>
        <w:t>5</w:t>
      </w:r>
      <w:r>
        <w:rPr/>
        <w:t xml:space="preserve"> Essas fábricas já nasceram com sistemas modernos de lubrificação nas máquinas principais, mas, em equipamentos menores, como redutores, bombas e transportadores, a lubrificação continua sendo feita pelo mecânico, o que mantém atual o problema tratado neste trabalho.</w:t>
      </w:r>
    </w:p>
    <w:p>
      <w:pPr>
        <w:pStyle w:val="Normal"/>
        <w:widowControl/>
        <w:spacing w:lineRule="auto" w:line="360" w:before="0" w:after="120"/>
        <w:ind w:left="0" w:right="0" w:firstLine="709"/>
        <w:jc w:val="both"/>
        <w:rPr/>
      </w:pPr>
      <w:r>
        <w:rPr/>
        <w:t>Apesar dessa evolução,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120"/>
        <w:ind w:left="0" w:right="0" w:firstLine="709"/>
        <w:jc w:val="both"/>
        <w:rPr/>
      </w:pPr>
      <w:r>
        <w:rPr/>
        <w:t>Este trabalho propõe o uso de um QR Code fixado no próprio equipamento, que dá acesso, pelo celular, a uma ficha digital com as informações de lubrificação. O estudo toma como equipamento um redutor de velocidade de coroa e rosca sem fim WEG-Cestari, da linha Magma M, com relação de transmissão 1:25, disponível na oficina de mecânica do SENAI Três Lagoas, e tem como foco a redução do tempo do mecânico na identificação e no registro da lubrificação.</w:t>
      </w:r>
    </w:p>
    <w:p>
      <w:pPr>
        <w:pStyle w:val="Heading2"/>
        <w:rPr/>
      </w:pPr>
      <w:bookmarkStart w:id="1" w:name="pag09"/>
      <w:bookmarkEnd w:id="1"/>
      <w:r>
        <w:rPr/>
        <w:t>1.1</w:t>
        <w:tab/>
        <w:t>Justificativa</w:t>
      </w:r>
    </w:p>
    <w:p>
      <w:pPr>
        <w:pStyle w:val="Normal"/>
        <w:widowControl/>
        <w:spacing w:lineRule="auto" w:line="360" w:before="0" w:after="12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a placa de identificação indica óleo sintético PAO ISO VG 460, que não deve ser misturado com óleo mineral nem com sintético de outra base;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6</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w:t>
        <w:tab/>
        <w:t>Delimitação do tema e problema de pesquisa</w:t>
      </w:r>
    </w:p>
    <w:p>
      <w:pPr>
        <w:pStyle w:val="Normal"/>
        <w:widowControl/>
        <w:spacing w:lineRule="auto" w:line="360" w:before="0" w:after="120"/>
        <w:ind w:left="0" w:right="0" w:firstLine="709"/>
        <w:jc w:val="both"/>
        <w:rPr/>
      </w:pPr>
      <w:r>
        <w:rPr/>
        <w:t>O estudo limita-se à lubrificação de um redutor de velocidade de coroa e rosca sem fim WEG-Cestari, da linha Magma M, tamanho 06, com relação de transmissão 1:25 (código M0612802V0D001), pertencente à oficina de mecânica do SENAI Três Lagoas e considerado na posição de trabalho adotada pela equipe, vertical, com a placa de identificação voltada para cima. O redutor está disponível em bancada e é tratado em uma aplicação hipotética: o acionamento de uma pequena esteira transportadora. São consideradas as etapas de identificação do lubrificante, localização dos pontos de enchimento, dreno e nível, e registro da intervenção. Não fazem parte do escopo a análise laboratorial do óleo do próprio redutor (feita apenas como ensaio de aprendizagem, com o óleo de outro equipamento, seção 2.2.2), a desmontagem do redutor, a avaliação em campo com o equipamento instalado em uma linha de produção e a integração efetiva com sistemas de gestão de manutenção, que é apresentada apenas como proposta, simulada na tela da ficha.</w:t>
      </w:r>
    </w:p>
    <w:p>
      <w:pPr>
        <w:pStyle w:val="Normal"/>
        <w:widowControl/>
        <w:spacing w:lineRule="auto" w:line="360" w:before="0" w:after="12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w:t>
        <w:tab/>
        <w:t>Objetivos</w:t>
      </w:r>
    </w:p>
    <w:p>
      <w:pPr>
        <w:pStyle w:val="Heading3"/>
        <w:spacing w:before="0" w:after="414"/>
        <w:rPr/>
      </w:pPr>
      <w:bookmarkStart w:id="4" w:name="pag12"/>
      <w:bookmarkEnd w:id="4"/>
      <w:r>
        <w:rPr/>
        <w:t>1.3.1 Objetivo geral</w:t>
      </w:r>
    </w:p>
    <w:p>
      <w:pPr>
        <w:pStyle w:val="Normal"/>
        <w:widowControl/>
        <w:spacing w:lineRule="auto" w:line="360" w:before="0" w:after="12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na placa de identificação, no manual do fabricante e no próprio equipamento;</w:t>
      </w:r>
    </w:p>
    <w:p>
      <w:pPr>
        <w:pStyle w:val="ListParagraph"/>
        <w:numPr>
          <w:ilvl w:val="0"/>
          <w:numId w:val="2"/>
        </w:numPr>
        <w:spacing w:lineRule="auto" w:line="360" w:before="0" w:after="0"/>
        <w:jc w:val="both"/>
        <w:rPr/>
      </w:pPr>
      <w:r>
        <w:rPr/>
        <w:t>desenvolver uma ficha digital, acessível por QR Code, com informações do lubrificante, alertas de segurança, passo a passo da troca, localização dos pontos de lubrificação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w:t>
        <w:tab/>
        <w:t>Tipo de pesquisa e contribuições esperadas</w:t>
      </w:r>
    </w:p>
    <w:p>
      <w:pPr>
        <w:pStyle w:val="Normal"/>
        <w:widowControl/>
        <w:spacing w:lineRule="auto" w:line="360" w:before="0" w:after="120"/>
        <w:ind w:left="0" w:right="0" w:firstLine="709"/>
        <w:jc w:val="both"/>
        <w:rPr/>
      </w:pPr>
      <w:r>
        <w:rPr/>
        <w:t>Trata-se de uma pesquisa aplicada, de abordagem quantitativa, realizada em ambiente didático, com comparação entre dois métodos de trabalho (tradicional e com QR Code) aplicados a um redutor da oficina do SENAI Três Lagoas.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w:t>
        <w:tab/>
        <w:t>Metodologia</w:t>
      </w:r>
    </w:p>
    <w:p>
      <w:pPr>
        <w:pStyle w:val="Normal"/>
        <w:widowControl/>
        <w:spacing w:lineRule="auto" w:line="360" w:before="0" w:after="0"/>
        <w:ind w:left="0" w:right="0" w:firstLine="709"/>
        <w:jc w:val="both"/>
        <w:rPr/>
      </w:pPr>
      <w:r>
        <w:rPr/>
        <w:t>A metodologia consistiu em quatro etapas: levantamento dos dados do redutor na placa de identificação, no manual do fabricante e no próprio equipamento, onde foram identificados e fotografados os pontos de enchimento, nível e dreno; desenvolvimento de uma ficha digital simples, acessada pelo navegador do celular; geração e impressão da etiqueta de QR Code; e cronometragem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w:t>
        <w:tab/>
        <w:t>DESENVOLVIMENTO</w:t>
      </w:r>
    </w:p>
    <w:p>
      <w:pPr>
        <w:pStyle w:val="Heading2"/>
        <w:spacing w:before="0" w:after="414"/>
        <w:rPr/>
      </w:pPr>
      <w:bookmarkStart w:id="9" w:name="pag17"/>
      <w:bookmarkEnd w:id="9"/>
      <w:r>
        <w:rPr/>
        <w:t>2.1</w:t>
        <w:tab/>
        <w:t>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12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7</w:t>
      </w:r>
      <w:r>
        <w:rPr/>
        <w:t xml:space="preserve"> Dentro desse conjunto, a lubrificação é uma ação preventiva de execução frequente.</w:t>
      </w:r>
    </w:p>
    <w:p>
      <w:pPr>
        <w:pStyle w:val="Normal"/>
        <w:widowControl/>
        <w:spacing w:lineRule="auto" w:line="360" w:before="0" w:after="12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12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12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estudado, a lubrificação é feita por imersão em óleo sintético de polialfaolefina (PAO) com grau ISO VG 460, conforme a placa de identificação, e o manual do fabricante relaciona, para esse grau, produtos como ExxonMobil SHC 634, Shell Omala S4 GX 460 e Klübersynth EG4-460.</w:t>
      </w:r>
      <w:r>
        <w:rPr>
          <w:vertAlign w:val="superscript"/>
        </w:rPr>
        <w:t>6</w:t>
      </w:r>
    </w:p>
    <w:p>
      <w:pPr>
        <w:pStyle w:val="Normal"/>
        <w:widowControl/>
        <w:spacing w:lineRule="auto" w:line="360" w:before="0" w:after="12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8</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6</w:t>
      </w:r>
      <w:r>
        <w:rPr/>
        <w:t xml:space="preserve"> Esse cuidado é importante porque o mesmo manual prevê, para os redutores da linha, óleos minerais (CLP) e sintéticos de base PAO (CLP HC) e poliglicol (CLP PG), cada um com seus próprios intervalos de troca, e é a placa de identificação que informa o tipo adotado em cada redutor.</w:t>
      </w:r>
      <w:r>
        <w:rPr>
          <w:vertAlign w:val="superscript"/>
        </w:rPr>
        <w:t>6</w:t>
      </w:r>
    </w:p>
    <w:p>
      <w:pPr>
        <w:pStyle w:val="Normal"/>
        <w:widowControl/>
        <w:spacing w:lineRule="auto" w:line="360" w:before="0" w:after="12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6</w:t>
      </w:r>
      <w:r>
        <w:rPr/>
        <w:t xml:space="preserve"> Assim, a medição da temperatura da carcaça com um termômetro infravermelho permite estimar a condição de trabalho do óleo sem abrir o redutor.</w:t>
      </w:r>
    </w:p>
    <w:p>
      <w:pPr>
        <w:pStyle w:val="Normal"/>
        <w:widowControl/>
        <w:spacing w:lineRule="auto" w:line="360" w:before="0" w:after="12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9</w:t>
      </w:r>
      <w:r>
        <w:rPr/>
        <w:t xml:space="preserve"> Na linha Magma M, o fabricante informa um único volume por tamanho, válido para todas as posições de trabalho (0,87 L no tamanho 06 de um estágio),</w:t>
      </w:r>
      <w:r>
        <w:rPr>
          <w:vertAlign w:val="superscript"/>
        </w:rPr>
        <w:t>6</w:t>
      </w:r>
      <w:r>
        <w:rPr/>
        <w:t xml:space="preserve"> mas a posição de montagem continua definindo quais bujões funcionam como enchimento, nível e dreno.</w:t>
      </w:r>
    </w:p>
    <w:p>
      <w:pPr>
        <w:pStyle w:val="Heading3"/>
        <w:rPr/>
      </w:pPr>
      <w:bookmarkStart w:id="12" w:name="pag20"/>
      <w:bookmarkEnd w:id="12"/>
      <w:r>
        <w:rPr/>
        <w:t>2.1.3 Gestão Visual e 5S</w:t>
      </w:r>
    </w:p>
    <w:p>
      <w:pPr>
        <w:pStyle w:val="Normal"/>
        <w:widowControl/>
        <w:spacing w:lineRule="auto" w:line="360" w:before="0" w:after="120"/>
        <w:ind w:left="0" w:right="0" w:firstLine="709"/>
        <w:jc w:val="both"/>
        <w:rPr/>
      </w:pPr>
      <w:r>
        <w:rPr/>
        <w:t>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Para Osada, os 5S organizam o ambiente de trabalho de modo que cada item necessário tenha um lugar definido e identificado, o que reduz o tempo perdido com procura.</w:t>
      </w:r>
      <w:r>
        <w:rPr>
          <w:vertAlign w:val="superscript"/>
        </w:rPr>
        <w:t>10</w:t>
      </w:r>
      <w:r>
        <w:rPr/>
        <w:t xml:space="preserve"> Galsworth descreve o local de trabalho visual como aquele que se explica e se regula por si mesmo, porque a informação necessária à tarefa é convertida em dispositivos visuais simples e colocada no ponto de uso.</w:t>
      </w:r>
      <w:r>
        <w:rPr>
          <w:vertAlign w:val="superscript"/>
        </w:rPr>
        <w:t>11</w:t>
      </w:r>
    </w:p>
    <w:p>
      <w:pPr>
        <w:pStyle w:val="Heading3"/>
        <w:rPr/>
      </w:pPr>
      <w:bookmarkStart w:id="13" w:name="pag21"/>
      <w:bookmarkEnd w:id="13"/>
      <w:r>
        <w:rPr/>
        <w:t>2.1.4 QR Code e NFC</w:t>
      </w:r>
    </w:p>
    <w:p>
      <w:pPr>
        <w:pStyle w:val="Normal"/>
        <w:widowControl/>
        <w:spacing w:lineRule="auto" w:line="360" w:before="0" w:after="12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12</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12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120"/>
        <w:ind w:left="0" w:right="0" w:firstLine="709"/>
        <w:jc w:val="both"/>
        <w:rPr/>
      </w:pPr>
      <w:r>
        <w:rPr/>
        <w:t>Vale observar que a própria placa de identificação do redutor estudado já informa o tipo e a viscosidade do óleo (ISO VG 460 CLP PAO). Essa informação, porém, ocupa uma área pequena, sujeita a sujeira e desgaste, não traz a quantidade de óleo nem a localização dos bujões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w:t>
        <w:tab/>
        <w:t>Metodologia</w:t>
      </w:r>
    </w:p>
    <w:p>
      <w:pPr>
        <w:pStyle w:val="Heading3"/>
        <w:spacing w:before="0" w:after="414"/>
        <w:rPr/>
      </w:pPr>
      <w:bookmarkStart w:id="15" w:name="pag23"/>
      <w:bookmarkEnd w:id="15"/>
      <w:r>
        <w:rPr/>
        <w:t>2.2.1 Equipamento estudado</w:t>
      </w:r>
    </w:p>
    <w:p>
      <w:pPr>
        <w:pStyle w:val="Normal"/>
        <w:widowControl/>
        <w:spacing w:lineRule="auto" w:line="360" w:before="0" w:after="120"/>
        <w:ind w:left="0" w:right="0" w:firstLine="709"/>
        <w:jc w:val="both"/>
        <w:rPr/>
      </w:pPr>
      <w:r>
        <w:rPr/>
        <w:t>O equipamento estudado é um redutor de velocidade de coroa e rosca sem fim, de eixos ortogonais, fabricado pela WEG-Cestari e pertencente à oficina de mecânica do SENAI Três Lagoas. Pela placa de identificação, trata-se do código M0612802V0D001, série 818100, fabricado em 2018, com relação de transmissão 1:25 (1.750 rpm na entrada e 70 rpm na saída) e lubrificação com óleo sintético ISO VG 460 CLP PAO. Pela estrutura do código e pelas tabelas do manual da linha coroa e rosca do fabricante,</w:t>
      </w:r>
      <w:r>
        <w:rPr>
          <w:vertAlign w:val="superscript"/>
        </w:rPr>
        <w:t>6</w:t>
      </w:r>
      <w:r>
        <w:rPr/>
        <w:t xml:space="preserve"> o redutor foi identificado como da linha Magma M, tamanho 06. Como não foi possível confirmar essa identificação com o fabricante, ela foi adotada como premissa do estudo, e os dados dela derivados, em especial o volume de óleo, devem ser conferidos antes de uma aplicação industrial. Os dados da placa, do manual e do levantamento feito pela equipe no próprio redutor, no qual a carcaça e o eixo de saída foram medidos com paquímetro (Figura 1),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estudado</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Linha Magma M, tamanho 06 (identificada pelo código da placa e pelo manual, sem confirmação do fabricante), um estágio; código M0612802V0D001; série 818100; fabricado em 2018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e estriado, com flange para acoplamento direto do motor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com rasgo de chaveta; diâmetro externo de 55 mm (medido pela equipe com paquímetro)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Fundida, pintada em azul sobre fundo vermelho, com sapatas de fixação ferro fundido (não é de alumínio, conforme verificado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Pinhão de entrada em rosca sem fim de aço e coroa de saída de bronze (conferido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nos eixos de entrada e de saída; tampa cega na ponta da rosca sem fim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Dados da placa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1.750 rpm na entrada e 70 rpm na saída (redução 1:25); 1,75 kW; fator de serviço 1 (conferidos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460 (CLP PAO); 0,87 L,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Temperatura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até 90 °C em operação normal; a carcaça fica cerca de 15 °C abaixo da temperatura do óleo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Dimensões e 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Altura de 225 mm e largura da carcaça de 116 mm (medidas pela equipe com paquímetro); massa: 18,1 kg (pesado pela equipe sem óleo e sem os bujões de dreno e de nível)</w:t>
            </w:r>
          </w:p>
        </w:tc>
      </w:tr>
    </w:tbl>
    <w:p>
      <w:pPr>
        <w:pStyle w:val="Normal"/>
        <w:spacing w:lineRule="auto" w:line="240" w:before="60" w:after="200"/>
        <w:jc w:val="center"/>
        <w:rPr>
          <w:sz w:val="20"/>
          <w:szCs w:val="20"/>
        </w:rPr>
      </w:pPr>
      <w:r>
        <w:rPr>
          <w:sz w:val="20"/>
          <w:szCs w:val="20"/>
        </w:rPr>
        <w:t>Fonte: Placa de identificação do redutor, levantamento dos autores e WEG-Cestari.</w:t>
      </w:r>
      <w:r>
        <w:rPr>
          <w:sz w:val="20"/>
          <w:szCs w:val="20"/>
          <w:vertAlign w:val="superscript"/>
        </w:rPr>
        <w:t>6</w:t>
      </w:r>
    </w:p>
    <w:p>
      <w:pPr>
        <w:pStyle w:val="Normal"/>
        <w:keepNext w:val="true"/>
        <w:spacing w:lineRule="auto" w:line="240" w:before="200" w:after="80"/>
        <w:jc w:val="center"/>
        <w:rPr>
          <w:b/>
          <w:b/>
          <w:bCs/>
          <w:sz w:val="20"/>
          <w:szCs w:val="20"/>
        </w:rPr>
      </w:pPr>
      <w:bookmarkStart w:id="17" w:name="pagfig1"/>
      <w:bookmarkEnd w:id="17"/>
      <w:r>
        <w:rPr>
          <w:b/>
          <w:bCs/>
          <w:sz w:val="20"/>
          <w:szCs w:val="20"/>
        </w:rPr>
        <w:t>Figura 1 – Medição da carcaça do redutor com paquímetro, na oficina de mecânica do SENAI Três Lagoas</w:t>
      </w:r>
    </w:p>
    <w:p>
      <w:pPr>
        <w:pStyle w:val="Normal"/>
        <w:spacing w:lineRule="auto" w:line="240" w:before="0" w:after="0"/>
        <w:ind w:left="0" w:right="0" w:hanging="0"/>
        <w:jc w:val="center"/>
        <w:rPr/>
      </w:pPr>
      <w:r>
        <w:rPr/>
        <w:drawing>
          <wp:inline distT="0" distB="0" distL="0" distR="0">
            <wp:extent cx="2700020" cy="3599815"/>
            <wp:effectExtent l="0" t="0" r="0" b="0"/>
            <wp:docPr id="3" name="Medica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dicao" descr=""/>
                    <pic:cNvPicPr>
                      <a:picLocks noChangeAspect="1" noChangeArrowheads="1"/>
                    </pic:cNvPicPr>
                  </pic:nvPicPr>
                  <pic:blipFill>
                    <a:blip r:embed="rId4"/>
                    <a:stretch>
                      <a:fillRect/>
                    </a:stretch>
                  </pic:blipFill>
                  <pic:spPr bwMode="auto">
                    <a:xfrm>
                      <a:off x="0" y="0"/>
                      <a:ext cx="2700020" cy="359981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Acervo dos autores (2026).</w:t>
      </w:r>
    </w:p>
    <w:p>
      <w:pPr>
        <w:pStyle w:val="Normal"/>
        <w:widowControl/>
        <w:spacing w:lineRule="auto" w:line="360" w:before="0" w:after="120"/>
        <w:ind w:left="0" w:right="0" w:firstLine="709"/>
        <w:jc w:val="both"/>
        <w:rPr/>
      </w:pPr>
      <w:r>
        <w:rPr/>
        <w:t>Como visto na seção 2.1.2, o volume de óleo da linha Magma M é o mesmo para todas as posições de trabalho (0,87 L no tamanho 06). O redutor do estudo foi considerado na posição de trabalho adotada pela equipe, vertical, com a placa de identificação voltada para cima, e é nessa posição que os pontos de lubrificação foram identificados. O Quadro 2 apresenta a ficha de lubrificação preenchida com esses dados.</w:t>
      </w:r>
    </w:p>
    <w:p>
      <w:pPr>
        <w:pStyle w:val="Normal"/>
        <w:widowControl/>
        <w:spacing w:lineRule="auto" w:line="360" w:before="0" w:after="120"/>
        <w:ind w:left="0" w:right="0" w:firstLine="709"/>
        <w:jc w:val="both"/>
        <w:rPr/>
      </w:pPr>
      <w:r>
        <w:rPr/>
        <w:t>Como a equipe dispõe do redutor, os pontos de lubrificação foram identificados no próprio equipamento e registrados em fotografias, usadas também na ficha: o respiro de latão, na face superior, serve de enchimento; na face lateral oposta ao motor, onde está a tampa cega da rosca sem fim, ficam dois bujões de nível; e o dreno é feito pelo bujão mais baixo dessa face e por um bujão na base. O redutor não possui visor de nível: o nível é conferido pela retirada do bujão, com o equipamento parado e bloqueado, e, como o bujão a ser usado depende da posição de montagem,</w:t>
      </w:r>
      <w:r>
        <w:rPr>
          <w:vertAlign w:val="superscript"/>
        </w:rPr>
        <w:t>9</w:t>
      </w:r>
      <w:r>
        <w:rPr/>
        <w:t xml:space="preserve"> na posição adotada pela equipe o nível é conferido pelo bujão do meio dessa face. Um adesivo no próprio redutor lembra que o lacre do respiro deve ser retirado antes da operação.</w:t>
      </w:r>
      <w:r>
        <w:br w:type="page"/>
      </w:r>
    </w:p>
    <w:p>
      <w:pPr>
        <w:pStyle w:val="Normal"/>
        <w:keepNext w:val="true"/>
        <w:spacing w:lineRule="auto" w:line="240" w:before="200" w:after="80"/>
        <w:jc w:val="center"/>
        <w:rPr>
          <w:b/>
          <w:b/>
          <w:bCs/>
          <w:sz w:val="20"/>
          <w:szCs w:val="20"/>
        </w:rPr>
      </w:pPr>
      <w:bookmarkStart w:id="18" w:name="pag02"/>
      <w:bookmarkEnd w:id="18"/>
      <w:r>
        <w:rPr>
          <w:b/>
          <w:bCs/>
          <w:sz w:val="20"/>
          <w:szCs w:val="20"/>
        </w:rPr>
        <w:t>Quadro 2 – Ficha de lubrificação do redutor RED-001</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linha Magma M, tamanho 06, relação 1:25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PAO), conforme a placa. Recomendados pelo fabricante para ISO VG 460: ExxonMobil SHC 634; Shell Omala S4 GX 460; Klübersynth EG4-460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0,87 L (870 mL), válido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Troca conforme a temperatura do óleo: 15.000 h (80 °C); 10.000 h (85 °C); 7.500 h (90 °C). Avaliar o óleo nas primeiras 500 h. Inspeção visual: mensal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Enchimento pelo respiro, na face superior; nível pelo bujão do meio da face da tampa cega (não há visor); dreno pelo bujão mais baixo dessa face e pelo bujão da base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no complemento e na troca; inspeção visual feita por fora, com a máquina em funcionamento, sem abrir bujões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Tag RED-001-OLE-04; galão identificado pela cor laranja (código e cor fictícios, adotados como exemplo)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13</w:t>
            </w:r>
          </w:p>
        </w:tc>
      </w:tr>
    </w:tbl>
    <w:p>
      <w:pPr>
        <w:pStyle w:val="Normal"/>
        <w:spacing w:lineRule="auto" w:line="240" w:before="60" w:after="200"/>
        <w:jc w:val="center"/>
        <w:rPr>
          <w:sz w:val="20"/>
          <w:szCs w:val="20"/>
        </w:rPr>
      </w:pPr>
      <w:r>
        <w:rPr>
          <w:sz w:val="20"/>
          <w:szCs w:val="20"/>
        </w:rPr>
        <w:t>Fonte: Elaborado pelos autores com dados da placa de identificação e de WEG-Cestari.</w:t>
      </w:r>
      <w:r>
        <w:rPr>
          <w:sz w:val="20"/>
          <w:szCs w:val="20"/>
          <w:vertAlign w:val="superscript"/>
        </w:rPr>
        <w:t>6</w:t>
      </w:r>
    </w:p>
    <w:p>
      <w:pPr>
        <w:pStyle w:val="Heading3"/>
        <w:rPr/>
      </w:pPr>
      <w:bookmarkStart w:id="19" w:name="pag24"/>
      <w:bookmarkEnd w:id="19"/>
      <w:r>
        <w:rPr/>
        <w:t>2.2.2 Ficha digital e protótipo</w:t>
      </w:r>
    </w:p>
    <w:p>
      <w:pPr>
        <w:pStyle w:val="Normal"/>
        <w:widowControl/>
        <w:spacing w:lineRule="auto" w:line="360" w:before="0" w:after="120"/>
        <w:ind w:left="0" w:right="0" w:firstLine="709"/>
        <w:jc w:val="both"/>
        <w:rPr/>
      </w:pPr>
      <w:r>
        <w:rPr/>
        <w:t>A ficha digital foi desenvolvida como uma página web simples, hospedada na internet e acessada pelo navegador do celular ou do tablet, sem necessidade de instalar aplicativo. Após o primeiro acesso, a página fica armazenada no aparelho e passa a funcionar também sem conexão com a rede, e os registros são gravados no armazenamento local do navegador, podendo ser exportados em arquivo CSV. A página abre com o quadro de segurança, que lembra o bloqueio do equipamento (LOTO), os EPIs necessários e a proibição de misturar óleos de bases diferentes; em seguida, aparecem em destaque e em letras grandes as informações essenciais: qual lubrificante aplicar, a viscosidade, o volume e onde ficam os pontos de enchimento, dreno e nível. Em telas largas, como a de um tablet na horizontal, a ficha é exibida em duas colunas.</w:t>
      </w:r>
    </w:p>
    <w:p>
      <w:pPr>
        <w:pStyle w:val="Normal"/>
        <w:widowControl/>
        <w:spacing w:lineRule="auto" w:line="360" w:before="0" w:after="120"/>
        <w:ind w:left="0" w:right="0" w:firstLine="709"/>
        <w:jc w:val="both"/>
        <w:rPr/>
      </w:pPr>
      <w:r>
        <w:rPr/>
        <w:t>O registro da lubrificação foi projetado para ser feito em poucos toques: o mecânico escolhe o tipo de intervenção (inspeção, complemento ou troca); no complemento e na troca, confirma, em um único item de checklist, que o equipamento está bloqueado e o bocal limpo, e, na troca, a quantidade já aparece preenchida com o volume indicado pelo fabricante. A inspeção é apenas visual, feita por fora e com a máquina em funcionamento (vazamentos, ruído e temperatura da carcaça), sem abertura de bujões e, por isso, sem bloqueio, regra validada com o professor; já o complemento e a troca, que exigem abrir o redutor, são feitos com o equipamento parado e bloqueado, como determina a NR-12 para as intervenções de manutenção em máquinas;</w:t>
      </w:r>
      <w:r>
        <w:rPr>
          <w:vertAlign w:val="superscript"/>
        </w:rPr>
        <w:t>14</w:t>
      </w:r>
      <w:r>
        <w:rPr/>
        <w:t xml:space="preserve"> para conferir o nível ou completar o óleo, a intervenção é registrada como complemento. Há um campo opcional para a temperatura da carcaça, e o nome do responsável fica memorizado no aparelho. O histórico dos últimos registros fica recolhido na tela, para não atrapalhar a consulta. O QR Code é gerado a partir do endereço da página de cada equipamento; como a lubrificação e a inspeção do redutor são trabalhos de projetos integradores diferentes, cada uma tem o seu QR Code, que abre diretamente a parte correspondente.</w:t>
      </w:r>
    </w:p>
    <w:p>
      <w:pPr>
        <w:pStyle w:val="Normal"/>
        <w:widowControl/>
        <w:spacing w:lineRule="auto" w:line="360" w:before="0" w:after="12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6</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120"/>
        <w:ind w:left="0" w:right="0" w:firstLine="709"/>
        <w:jc w:val="both"/>
        <w:rPr/>
      </w:pPr>
      <w:r>
        <w:rPr/>
        <w:t>Além da lubrificação, o mesmo site reúne o roteiro de inspeção do redutor, desenvolvido em outro projeto integrador, com um modelo tridimensional das peças e uma lista de verificação. Quando o horímetro é informado nessa inspeção, a página calcula as horas trabalhadas desde a inspeção anterior e, no modo com horímetro, soma esse valor às horas de uso do óleo.</w:t>
      </w:r>
    </w:p>
    <w:p>
      <w:pPr>
        <w:pStyle w:val="Normal"/>
        <w:widowControl/>
        <w:spacing w:lineRule="auto" w:line="360" w:before="0" w:after="120"/>
        <w:ind w:left="0" w:right="0" w:firstLine="709"/>
        <w:jc w:val="both"/>
        <w:rPr/>
      </w:pPr>
      <w:r>
        <w:rPr/>
        <w:t>O acompanhamento da condição do óleo por análise em laboratório exige a retirada de uma amostra e a reposição do volume retirado com o mesmo lubrificante. O manual do fabricante orienta verificar o nível e completá-lo, quando necessário, com o lubrificante recomendado, usar nas trocas o mesmo óleo indicado na placa, não misturar óleos de tipos e fabricantes diferentes e substituir o óleo que estiver contaminado ou com partículas.</w:t>
      </w:r>
      <w:r>
        <w:rPr>
          <w:vertAlign w:val="superscript"/>
        </w:rPr>
        <w:t>6</w:t>
      </w:r>
      <w:r>
        <w:rPr/>
        <w:t xml:space="preserve"> Neste trabalho, a análise laboratorial não foi incluída: a condição do óleo é acompanhada pela observação do óleo retirado na troca (cor, transparência e presença de partículas), pela temperatura da carcaça e pelas horas de uso, e o passo a passo da troca orienta o mecânico sobre o que cada aspecto pode indicar.</w:t>
      </w:r>
    </w:p>
    <w:p>
      <w:pPr>
        <w:pStyle w:val="Normal"/>
        <w:widowControl/>
        <w:spacing w:lineRule="auto" w:line="360" w:before="0" w:after="12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nota de manutenção quando a inspeção resulta em não conformidade ou quando o óleo se aproxima do fim da vida útil. No protótipo, esse documento é apenas simulado na tela; a criação direta no SAP, no módulo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120"/>
        <w:ind w:left="0" w:right="0" w:firstLine="709"/>
        <w:jc w:val="both"/>
        <w:rPr/>
      </w:pPr>
      <w:r>
        <w:rPr/>
        <w:t>A ficha também informa como requisitar o lubrificante ao almoxarifado. Cada óleo recebe um tag no mesmo padrão dos tags das peças mostrados no roteiro de inspeção, formado pelo tag do equipamento (RED-001) e pelo código do item (OLE-04), resultando em RED-001-OLE-04, e uma cor, que é a mesma do galão em que o produto é armazenado. O código OLE-04 e a cor laranja são fictícios, adotados como exemplo neste estudo; em uma implantação real, devem seguir o padrão de codificação e de cores do almoxarifado da empresa. O tag e a cor aparecem na ficha, na orientação de troca e na etiqueta fixada no equipamento, o que reduz o risco de aplicação de um produto incorreto.</w:t>
      </w:r>
    </w:p>
    <w:p>
      <w:pPr>
        <w:pStyle w:val="Normal"/>
        <w:widowControl/>
        <w:spacing w:lineRule="auto" w:line="360" w:before="0" w:after="120"/>
        <w:ind w:left="0" w:right="0" w:firstLine="709"/>
        <w:jc w:val="both"/>
        <w:rPr/>
      </w:pPr>
      <w:r>
        <w:rPr/>
        <w:t>Além disso, a ficha indica a situação do equipamento por cores, como um semáforo, na tela de abertura e em uma faixa sob o cabeçalho: verde quando o óleo está dentro da vida útil, amarelo nos últimos 20% do intervalo de troca e vermelho quando o limite é ultrapassado. Para evitar a aplicação do óleo errado, cada galão recebe uma etiqueta com o próprio QR Code; antes de abastecer, o mecânico lê esse código pela ficha, que confirma se o galão é o indicado para o redutor e não deixa salvar o registro quando o último galão lido é o errado.</w:t>
      </w:r>
    </w:p>
    <w:p>
      <w:pPr>
        <w:pStyle w:val="Normal"/>
        <w:widowControl/>
        <w:spacing w:lineRule="auto" w:line="360" w:before="0" w:after="120"/>
        <w:ind w:left="0" w:right="0" w:firstLine="709"/>
        <w:jc w:val="both"/>
        <w:rPr/>
      </w:pPr>
      <w:r>
        <w:rPr/>
        <w:t>A troca do óleo é apresentada como um passo a passo, uma etapa por tela, com fotografias do próprio redutor em que os pontos estão marcados: separar o material, desligar e bloquear, limpar em volta dos bujões, drenar o óleo usado, observar o óleo retirado, fechar o dreno, conferir o galão, abastecer, fechar e testar e, por fim, descartar o óleo usado. Ao final, o registro já fica marcado como troca. A equipe realizou uma troca simulada no redutor da oficina em 14 de outubro de 2026 e a registrou na ficha; com o regime de operação contínua cadastrado e o intervalo de 15.000 horas, a próxima troca ficou prevista para 30 de junho de 2028. A ficha traz, ainda, um modelo tridimensional simplificado do redutor, construído a partir das fotografias, no qual o mecânico toca em Enchimento, Nível, Dreno ou QR Code e o modelo gira até o ponto escolhido, que fica destacado e é acompanhado da fotografia correspondente.</w:t>
      </w:r>
    </w:p>
    <w:p>
      <w:pPr>
        <w:pStyle w:val="Normal"/>
        <w:widowControl/>
        <w:spacing w:lineRule="auto" w:line="360" w:before="0" w:after="120"/>
        <w:ind w:left="0" w:right="0" w:firstLine="709"/>
        <w:jc w:val="both"/>
        <w:rPr/>
      </w:pPr>
      <w:r>
        <w:rPr/>
        <w:t>Como a equipe não teve acesso ao manual de peças do fabricante, o mesmo modelo foi ampliado para servir de referência dos componentes do redutor. Na vista explodida, as peças se afastam da carcaça e recebem um número; ao tocar no número ou na peça, a ficha mostra o nome, o tipo, o material, a função, o que observar na inspeção e as falhas mais comuns, além do tag do componente, formado pelo tag do equipamento e pelo código da peça (por exemplo, RED-001-COR-01 para a coroa). Uma vista em corte deixa a carcaça transparente e mostra a coroa de bronze, a rosca sem fim, os rolamentos e os eixos. As peças externas foram desenhadas a partir das fotografias e das medidas do redutor da oficina; as internas seguem o arranjo usual de um redutor coroa e rosca e são ilustrativas, devendo ter quantidades, medidas e códigos confirmados em uma desmontagem. A vista explodida e a lista de componentes com os tags estão no Apêndice D (Figura 3 e Quadro 4).</w:t>
      </w:r>
    </w:p>
    <w:p>
      <w:pPr>
        <w:pStyle w:val="Normal"/>
        <w:widowControl/>
        <w:spacing w:lineRule="auto" w:line="360" w:before="0" w:after="120"/>
        <w:ind w:left="0" w:right="0" w:firstLine="709"/>
        <w:jc w:val="both"/>
        <w:rPr/>
      </w:pPr>
      <w:r>
        <w:rPr/>
        <w:t>Para aprender o método de acompanhamento da condição do óleo, a equipe fez, no laboratório do SENAI Três Lagoas, um ensaio de viscosidade com um viscosímetro rotacional digital (Marte MVD-8): mediu o óleo novo e o óleo usado drenado de um torno da oficina, ambos Ipiranga Ipitur HLP ISO VG 68. Como as amostras estavam em temperaturas diferentes (22,7 °C e 27,3 °C), os valores foram levados à mesma temperatura pela curva viscosidade × temperatura do óleo, calculada pela equação de Walther (ASTM D341) com os dados da ficha técnica do fabricante. O óleo usado apresentou viscosidade cerca de 17 % menor que a do óleo novo, além de aspecto esverdeado e turvo e depósito no fundo do béquer, indícios de contaminação. A partir desse ensaio, a ficha do redutor passou a mostrar, logo abaixo da vida útil do óleo, um cartão “Última análise do óleo” com semáforo, segundo critério adotado pelos autores e usual em programas de análise de óleo: variação de viscosidade de até 10 % em relação ao óleo novo, normal; de 10 a 20 %, atenção; acima de 20 %, crítico. Enquanto o óleo do próprio redutor não é analisado – a amostra será coletada na próxima troca, já que a carga é de apenas 0,87 L –, o cartão exibe o ensaio de aprendizagem, identificado como tal, e permite registrar a primeira análise do redutor, cuja variação é calculada pela própria ficha.</w:t>
      </w:r>
    </w:p>
    <w:p>
      <w:pPr>
        <w:pStyle w:val="Heading3"/>
        <w:rPr/>
      </w:pPr>
      <w:bookmarkStart w:id="20" w:name="pag25"/>
      <w:bookmarkEnd w:id="20"/>
      <w:r>
        <w:rPr/>
        <w:t>2.2.3 Cronometragem</w:t>
      </w:r>
    </w:p>
    <w:p>
      <w:pPr>
        <w:pStyle w:val="Normal"/>
        <w:widowControl/>
        <w:spacing w:lineRule="auto" w:line="360" w:before="0" w:after="120"/>
        <w:ind w:left="0" w:right="0" w:firstLine="709"/>
        <w:jc w:val="both"/>
        <w:rPr/>
      </w:pPr>
      <w:r>
        <w:rPr/>
        <w:t xml:space="preserve">Para avaliar o ganho de tempo, foi realizada uma cronometragem em ambiente didático com cinco participantes, alunos do SENAI Três Lagoas </w:t>
      </w:r>
      <w:r>
        <w:rPr>
          <w:shd w:fill="FFFF00" w:val="clear"/>
        </w:rPr>
        <w:t>[confirmar a turma]</w:t>
      </w:r>
      <w:r>
        <w:rPr/>
        <w:t>, cada um executando a tarefa pelos dois métodos na oficina de mecânica, junto ao redutor. No método tradicional, o participante consultou a placa de identificação e o manual da linha coroa e rosca do fabricante, em PDF no celular, e registrou a intervenção em formulário de papel. No método com QR Code, escaneou a etiqueta impressa, afixada no próprio redutor, leu a ficha e registrou a intervenção no celular. Os tempos foram medidos com o cronômetro de um celular. O Quadro 3 apresenta as etapas da tarefa.</w:t>
      </w:r>
    </w:p>
    <w:p>
      <w:pPr>
        <w:pStyle w:val="Normal"/>
        <w:keepNext w:val="true"/>
        <w:spacing w:lineRule="auto" w:line="240" w:before="200" w:after="80"/>
        <w:jc w:val="center"/>
        <w:rPr>
          <w:b/>
          <w:b/>
          <w:bCs/>
          <w:sz w:val="20"/>
          <w:szCs w:val="20"/>
        </w:rPr>
      </w:pPr>
      <w:bookmarkStart w:id="21" w:name="pag03"/>
      <w:bookmarkEnd w:id="21"/>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na placa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manual o volume e localizar no redutor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jc w:val="center"/>
        <w:rPr>
          <w:sz w:val="20"/>
          <w:szCs w:val="20"/>
        </w:rPr>
      </w:pPr>
      <w:r>
        <w:rPr>
          <w:sz w:val="20"/>
          <w:szCs w:val="20"/>
        </w:rPr>
        <w:t>Fonte: Elaborado pelos autores (2026).</w:t>
      </w:r>
    </w:p>
    <w:p>
      <w:pPr>
        <w:pStyle w:val="Normal"/>
        <w:widowControl/>
        <w:spacing w:lineRule="auto" w:line="360" w:before="0" w:after="120"/>
        <w:ind w:left="0" w:right="0" w:firstLine="709"/>
        <w:jc w:val="both"/>
        <w:rPr/>
      </w:pPr>
      <w:r>
        <w:rPr/>
        <w:t>Cada participante recebeu a mesma ordem de serviço, com o código do equipamento e a posição de trabalho. O cronômetro foi iniciado quando o participante recebeu a tarefa e parado quando o registro foi concluído (formulário em papel preenchido ou registro salvo no celular), de modo que o tempo medido reúne as etapas A, B e C do Quadro 3; as etapas não foram cronometradas separadamente. A aplicação do lubrificante em si não foi simulada, pois é igual nos dois métodos.</w:t>
      </w:r>
    </w:p>
    <w:p>
      <w:pPr>
        <w:pStyle w:val="Normal"/>
        <w:widowControl/>
        <w:spacing w:lineRule="auto" w:line="360" w:before="0" w:after="120"/>
        <w:ind w:left="0" w:right="0" w:firstLine="709"/>
        <w:jc w:val="both"/>
        <w:rPr/>
      </w:pPr>
      <w:r>
        <w:rPr/>
        <w:t>Como quem executa um método primeiro tende a memorizar as informações e a ganhar tempo no segundo, o planejamento previa uma ordem contrabalanceada; na execução, porém, os participantes começaram pelo método tradicional, o que pode ter favorecido o método com QR Code, feito em seguida, e é tratado como limitação na seção 2.3.2. A cronometragem não inclui o deslocamento até a sala de manutenção nem a consulta ao supervisor, que ocorrem no método tradicional em campo; por isso, os tempos tradicionais medidos tendem a ser menores que os reais.</w:t>
      </w:r>
    </w:p>
    <w:p>
      <w:pPr>
        <w:pStyle w:val="Heading3"/>
        <w:rPr/>
      </w:pPr>
      <w:bookmarkStart w:id="22" w:name="pag26"/>
      <w:bookmarkEnd w:id="22"/>
      <w:r>
        <w:rPr/>
        <w:t>2.2.4 Análise dos dados e retorno financeiro</w:t>
      </w:r>
    </w:p>
    <w:p>
      <w:pPr>
        <w:pStyle w:val="Normal"/>
        <w:widowControl/>
        <w:spacing w:lineRule="auto" w:line="360" w:before="0" w:after="120"/>
        <w:ind w:left="0" w:right="0" w:firstLine="709"/>
        <w:jc w:val="both"/>
        <w:rPr/>
      </w:pPr>
      <w:r>
        <w:rPr/>
        <w:t>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visuais mensais de vazamento, ruído e temperatura da carcaça, o que resulta em 12 intervenções por ano,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120"/>
        <w:ind w:left="0" w:right="0" w:firstLine="709"/>
        <w:jc w:val="both"/>
        <w:rPr/>
      </w:pPr>
      <w:r>
        <w:rPr/>
        <w:t>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e não há custo de linha de produção a considerar, foi quantificado o segundo cenário, com o custo da hora do mecânico obtido do salário médio do mecânico de manutenção de máquinas em geral (CBO 9113-05): R$ 3.150,00 por mês, para jornada de 44 horas semanais, segundo dados do Novo Caged reunidos pelo Portal Salário.</w:t>
      </w:r>
      <w:r>
        <w:rPr>
          <w:vertAlign w:val="superscript"/>
        </w:rPr>
        <w:t>15</w:t>
      </w:r>
      <w:r>
        <w:rPr/>
        <w:t xml:space="preserve"> Dividido por 220 horas mensais, esse salário corresponde a cerca de R$ 14,32 por hora; como os encargos trabalhistas não foram somados, a estimativa é conservadora.</w:t>
      </w:r>
    </w:p>
    <w:p>
      <w:pPr>
        <w:pStyle w:val="Heading2"/>
        <w:rPr/>
      </w:pPr>
      <w:bookmarkStart w:id="23" w:name="pag27"/>
      <w:bookmarkEnd w:id="23"/>
      <w:r>
        <w:rPr/>
        <w:t>2.3</w:t>
        <w:tab/>
        <w:t>Resultados e Discussões</w:t>
      </w:r>
    </w:p>
    <w:p>
      <w:pPr>
        <w:pStyle w:val="Heading3"/>
        <w:spacing w:before="0" w:after="414"/>
        <w:rPr/>
      </w:pPr>
      <w:bookmarkStart w:id="24" w:name="pag28"/>
      <w:bookmarkEnd w:id="24"/>
      <w:r>
        <w:rPr/>
        <w:t>2.3.1 Dados coletados</w:t>
      </w:r>
    </w:p>
    <w:p>
      <w:pPr>
        <w:pStyle w:val="Normal"/>
        <w:widowControl/>
        <w:spacing w:lineRule="auto" w:line="360" w:before="0" w:after="120"/>
        <w:ind w:left="0" w:right="0" w:firstLine="709"/>
        <w:jc w:val="both"/>
        <w:rPr/>
      </w:pPr>
      <w:r>
        <w:rPr/>
        <w:t>A cronometragem foi realizada em outubro de 2026, na oficina de mecânica do SENAI Três Lagoas, junto ao redutor. A Tabela 1 apresenta o tempo total de cada participante nos dois métodos, a diferença e a redução percentual; a Tabela 2 resume os tempos de cada método.</w:t>
      </w:r>
    </w:p>
    <w:p>
      <w:pPr>
        <w:pStyle w:val="Normal"/>
        <w:keepNext w:val="true"/>
        <w:spacing w:lineRule="auto" w:line="240" w:before="200" w:after="80"/>
        <w:jc w:val="center"/>
        <w:rPr>
          <w:b/>
          <w:b/>
          <w:bCs/>
          <w:sz w:val="20"/>
          <w:szCs w:val="20"/>
        </w:rPr>
      </w:pPr>
      <w:bookmarkStart w:id="25" w:name="pag05"/>
      <w:bookmarkEnd w:id="25"/>
      <w:r>
        <w:rPr>
          <w:b/>
          <w:bCs/>
          <w:sz w:val="20"/>
          <w:szCs w:val="20"/>
        </w:rPr>
        <w:t>Tabela 1 – Tempo total da tarefa por participante nos dois métodos</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Tradicional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QR Code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Diferença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t>514,64</w:t>
            </w:r>
          </w:p>
        </w:tc>
        <w:tc>
          <w:tcPr>
            <w:tcW w:w="1794" w:type="dxa"/>
            <w:tcBorders/>
            <w:vAlign w:val="center"/>
          </w:tcPr>
          <w:p>
            <w:pPr>
              <w:pStyle w:val="Normal"/>
              <w:spacing w:lineRule="auto" w:line="240" w:before="0" w:after="0"/>
              <w:jc w:val="center"/>
              <w:rPr/>
            </w:pPr>
            <w:r>
              <w:rPr/>
              <w:t>213,21</w:t>
            </w:r>
          </w:p>
        </w:tc>
        <w:tc>
          <w:tcPr>
            <w:tcW w:w="1792" w:type="dxa"/>
            <w:tcBorders/>
            <w:vAlign w:val="center"/>
          </w:tcPr>
          <w:p>
            <w:pPr>
              <w:pStyle w:val="Normal"/>
              <w:spacing w:lineRule="auto" w:line="240" w:before="0" w:after="0"/>
              <w:jc w:val="center"/>
              <w:rPr/>
            </w:pPr>
            <w:r>
              <w:rPr/>
              <w:t>301,43</w:t>
            </w:r>
          </w:p>
        </w:tc>
        <w:tc>
          <w:tcPr>
            <w:tcW w:w="1793" w:type="dxa"/>
            <w:tcBorders/>
            <w:vAlign w:val="center"/>
          </w:tcPr>
          <w:p>
            <w:pPr>
              <w:pStyle w:val="Normal"/>
              <w:spacing w:lineRule="auto" w:line="240" w:before="0" w:after="0"/>
              <w:jc w:val="center"/>
              <w:rPr/>
            </w:pPr>
            <w:r>
              <w:rPr/>
              <w:t>58,6</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t>643,84</w:t>
            </w:r>
          </w:p>
        </w:tc>
        <w:tc>
          <w:tcPr>
            <w:tcW w:w="1794" w:type="dxa"/>
            <w:tcBorders/>
            <w:vAlign w:val="center"/>
          </w:tcPr>
          <w:p>
            <w:pPr>
              <w:pStyle w:val="Normal"/>
              <w:spacing w:lineRule="auto" w:line="240" w:before="0" w:after="0"/>
              <w:jc w:val="center"/>
              <w:rPr/>
            </w:pPr>
            <w:r>
              <w:rPr/>
              <w:t>180,08</w:t>
            </w:r>
          </w:p>
        </w:tc>
        <w:tc>
          <w:tcPr>
            <w:tcW w:w="1792" w:type="dxa"/>
            <w:tcBorders/>
            <w:vAlign w:val="center"/>
          </w:tcPr>
          <w:p>
            <w:pPr>
              <w:pStyle w:val="Normal"/>
              <w:spacing w:lineRule="auto" w:line="240" w:before="0" w:after="0"/>
              <w:jc w:val="center"/>
              <w:rPr/>
            </w:pPr>
            <w:r>
              <w:rPr/>
              <w:t>463,76</w:t>
            </w:r>
          </w:p>
        </w:tc>
        <w:tc>
          <w:tcPr>
            <w:tcW w:w="1793" w:type="dxa"/>
            <w:tcBorders/>
            <w:vAlign w:val="center"/>
          </w:tcPr>
          <w:p>
            <w:pPr>
              <w:pStyle w:val="Normal"/>
              <w:spacing w:lineRule="auto" w:line="240" w:before="0" w:after="0"/>
              <w:jc w:val="center"/>
              <w:rPr/>
            </w:pPr>
            <w:r>
              <w:rPr/>
              <w:t>72,0</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t>726,26</w:t>
            </w:r>
          </w:p>
        </w:tc>
        <w:tc>
          <w:tcPr>
            <w:tcW w:w="1794" w:type="dxa"/>
            <w:tcBorders/>
            <w:vAlign w:val="center"/>
          </w:tcPr>
          <w:p>
            <w:pPr>
              <w:pStyle w:val="Normal"/>
              <w:spacing w:lineRule="auto" w:line="240" w:before="0" w:after="0"/>
              <w:jc w:val="center"/>
              <w:rPr/>
            </w:pPr>
            <w:r>
              <w:rPr/>
              <w:t>141,18</w:t>
            </w:r>
          </w:p>
        </w:tc>
        <w:tc>
          <w:tcPr>
            <w:tcW w:w="1792" w:type="dxa"/>
            <w:tcBorders/>
            <w:vAlign w:val="center"/>
          </w:tcPr>
          <w:p>
            <w:pPr>
              <w:pStyle w:val="Normal"/>
              <w:spacing w:lineRule="auto" w:line="240" w:before="0" w:after="0"/>
              <w:jc w:val="center"/>
              <w:rPr/>
            </w:pPr>
            <w:r>
              <w:rPr/>
              <w:t>585,08</w:t>
            </w:r>
          </w:p>
        </w:tc>
        <w:tc>
          <w:tcPr>
            <w:tcW w:w="1793" w:type="dxa"/>
            <w:tcBorders/>
            <w:vAlign w:val="center"/>
          </w:tcPr>
          <w:p>
            <w:pPr>
              <w:pStyle w:val="Normal"/>
              <w:spacing w:lineRule="auto" w:line="240" w:before="0" w:after="0"/>
              <w:jc w:val="center"/>
              <w:rPr/>
            </w:pPr>
            <w:r>
              <w:rPr/>
              <w:t>80,6</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t>654,55</w:t>
            </w:r>
          </w:p>
        </w:tc>
        <w:tc>
          <w:tcPr>
            <w:tcW w:w="1794" w:type="dxa"/>
            <w:tcBorders/>
            <w:vAlign w:val="center"/>
          </w:tcPr>
          <w:p>
            <w:pPr>
              <w:pStyle w:val="Normal"/>
              <w:spacing w:lineRule="auto" w:line="240" w:before="0" w:after="0"/>
              <w:jc w:val="center"/>
              <w:rPr/>
            </w:pPr>
            <w:r>
              <w:rPr/>
              <w:t>178,34</w:t>
            </w:r>
          </w:p>
        </w:tc>
        <w:tc>
          <w:tcPr>
            <w:tcW w:w="1792" w:type="dxa"/>
            <w:tcBorders/>
            <w:vAlign w:val="center"/>
          </w:tcPr>
          <w:p>
            <w:pPr>
              <w:pStyle w:val="Normal"/>
              <w:spacing w:lineRule="auto" w:line="240" w:before="0" w:after="0"/>
              <w:jc w:val="center"/>
              <w:rPr/>
            </w:pPr>
            <w:r>
              <w:rPr/>
              <w:t>476,21</w:t>
            </w:r>
          </w:p>
        </w:tc>
        <w:tc>
          <w:tcPr>
            <w:tcW w:w="1793" w:type="dxa"/>
            <w:tcBorders/>
            <w:vAlign w:val="center"/>
          </w:tcPr>
          <w:p>
            <w:pPr>
              <w:pStyle w:val="Normal"/>
              <w:spacing w:lineRule="auto" w:line="240" w:before="0" w:after="0"/>
              <w:jc w:val="center"/>
              <w:rPr/>
            </w:pPr>
            <w:r>
              <w:rPr/>
              <w:t>72,8</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t>646,28</w:t>
            </w:r>
          </w:p>
        </w:tc>
        <w:tc>
          <w:tcPr>
            <w:tcW w:w="1794" w:type="dxa"/>
            <w:tcBorders/>
            <w:vAlign w:val="center"/>
          </w:tcPr>
          <w:p>
            <w:pPr>
              <w:pStyle w:val="Normal"/>
              <w:spacing w:lineRule="auto" w:line="240" w:before="0" w:after="0"/>
              <w:jc w:val="center"/>
              <w:rPr/>
            </w:pPr>
            <w:r>
              <w:rPr/>
              <w:t>177,94</w:t>
            </w:r>
          </w:p>
        </w:tc>
        <w:tc>
          <w:tcPr>
            <w:tcW w:w="1792" w:type="dxa"/>
            <w:tcBorders/>
            <w:vAlign w:val="center"/>
          </w:tcPr>
          <w:p>
            <w:pPr>
              <w:pStyle w:val="Normal"/>
              <w:spacing w:lineRule="auto" w:line="240" w:before="0" w:after="0"/>
              <w:jc w:val="center"/>
              <w:rPr/>
            </w:pPr>
            <w:r>
              <w:rPr/>
              <w:t>468,34</w:t>
            </w:r>
          </w:p>
        </w:tc>
        <w:tc>
          <w:tcPr>
            <w:tcW w:w="1793" w:type="dxa"/>
            <w:tcBorders/>
            <w:vAlign w:val="center"/>
          </w:tcPr>
          <w:p>
            <w:pPr>
              <w:pStyle w:val="Normal"/>
              <w:spacing w:lineRule="auto" w:line="240" w:before="0" w:after="0"/>
              <w:jc w:val="center"/>
              <w:rPr/>
            </w:pPr>
            <w:r>
              <w:rPr/>
              <w:t>72,5</w:t>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t>637,11</w:t>
            </w:r>
          </w:p>
        </w:tc>
        <w:tc>
          <w:tcPr>
            <w:tcW w:w="1794" w:type="dxa"/>
            <w:tcBorders>
              <w:top w:val="single" w:sz="4" w:space="0" w:color="000000"/>
            </w:tcBorders>
            <w:vAlign w:val="center"/>
          </w:tcPr>
          <w:p>
            <w:pPr>
              <w:pStyle w:val="Normal"/>
              <w:spacing w:lineRule="auto" w:line="240" w:before="0" w:after="0"/>
              <w:jc w:val="center"/>
              <w:rPr/>
            </w:pPr>
            <w:r>
              <w:rPr/>
              <w:t>178,15</w:t>
            </w:r>
          </w:p>
        </w:tc>
        <w:tc>
          <w:tcPr>
            <w:tcW w:w="1792" w:type="dxa"/>
            <w:tcBorders>
              <w:top w:val="single" w:sz="4" w:space="0" w:color="000000"/>
            </w:tcBorders>
            <w:vAlign w:val="center"/>
          </w:tcPr>
          <w:p>
            <w:pPr>
              <w:pStyle w:val="Normal"/>
              <w:spacing w:lineRule="auto" w:line="240" w:before="0" w:after="0"/>
              <w:jc w:val="center"/>
              <w:rPr/>
            </w:pPr>
            <w:r>
              <w:rPr/>
              <w:t>458,96</w:t>
            </w:r>
          </w:p>
        </w:tc>
        <w:tc>
          <w:tcPr>
            <w:tcW w:w="1793" w:type="dxa"/>
            <w:tcBorders>
              <w:top w:val="single" w:sz="4" w:space="0" w:color="000000"/>
            </w:tcBorders>
            <w:vAlign w:val="center"/>
          </w:tcPr>
          <w:p>
            <w:pPr>
              <w:pStyle w:val="Normal"/>
              <w:spacing w:lineRule="auto" w:line="240" w:before="0" w:after="0"/>
              <w:jc w:val="center"/>
              <w:rPr/>
            </w:pPr>
            <w:r>
              <w:rPr/>
              <w:t>72,0</w:t>
            </w:r>
          </w:p>
        </w:tc>
      </w:tr>
    </w:tbl>
    <w:p>
      <w:pPr>
        <w:pStyle w:val="Normal"/>
        <w:spacing w:lineRule="auto" w:line="240" w:before="60" w:after="200"/>
        <w:jc w:val="center"/>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6" w:name="pag06"/>
      <w:bookmarkEnd w:id="26"/>
      <w:r>
        <w:rPr>
          <w:b/>
          <w:bCs/>
          <w:sz w:val="20"/>
          <w:szCs w:val="20"/>
        </w:rPr>
        <w:t>Tabela 2 – Resumo dos tempos por método</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Método</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(min:s)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Menor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Maior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Tradicional</w:t>
            </w:r>
          </w:p>
        </w:tc>
        <w:tc>
          <w:tcPr>
            <w:tcW w:w="1792" w:type="dxa"/>
            <w:tcBorders/>
            <w:vAlign w:val="center"/>
          </w:tcPr>
          <w:p>
            <w:pPr>
              <w:pStyle w:val="Normal"/>
              <w:spacing w:lineRule="auto" w:line="240" w:before="0" w:after="0"/>
              <w:jc w:val="center"/>
              <w:rPr/>
            </w:pPr>
            <w:r>
              <w:rPr/>
              <w:t>637,1</w:t>
            </w:r>
          </w:p>
        </w:tc>
        <w:tc>
          <w:tcPr>
            <w:tcW w:w="1794" w:type="dxa"/>
            <w:tcBorders/>
            <w:vAlign w:val="center"/>
          </w:tcPr>
          <w:p>
            <w:pPr>
              <w:pStyle w:val="Normal"/>
              <w:spacing w:lineRule="auto" w:line="240" w:before="0" w:after="0"/>
              <w:jc w:val="center"/>
              <w:rPr/>
            </w:pPr>
            <w:r>
              <w:rPr/>
              <w:t>10:37</w:t>
            </w:r>
          </w:p>
        </w:tc>
        <w:tc>
          <w:tcPr>
            <w:tcW w:w="1792" w:type="dxa"/>
            <w:tcBorders/>
            <w:vAlign w:val="center"/>
          </w:tcPr>
          <w:p>
            <w:pPr>
              <w:pStyle w:val="Normal"/>
              <w:spacing w:lineRule="auto" w:line="240" w:before="0" w:after="0"/>
              <w:jc w:val="center"/>
              <w:rPr/>
            </w:pPr>
            <w:r>
              <w:rPr/>
              <w:t>514,6</w:t>
            </w:r>
          </w:p>
        </w:tc>
        <w:tc>
          <w:tcPr>
            <w:tcW w:w="1793" w:type="dxa"/>
            <w:tcBorders/>
            <w:vAlign w:val="center"/>
          </w:tcPr>
          <w:p>
            <w:pPr>
              <w:pStyle w:val="Normal"/>
              <w:spacing w:lineRule="auto" w:line="240" w:before="0" w:after="0"/>
              <w:jc w:val="center"/>
              <w:rPr/>
            </w:pPr>
            <w:r>
              <w:rPr/>
              <w:t>726,3</w:t>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QR Code</w:t>
            </w:r>
          </w:p>
        </w:tc>
        <w:tc>
          <w:tcPr>
            <w:tcW w:w="1792" w:type="dxa"/>
            <w:tcBorders>
              <w:top w:val="single" w:sz="4" w:space="0" w:color="000000"/>
            </w:tcBorders>
            <w:vAlign w:val="center"/>
          </w:tcPr>
          <w:p>
            <w:pPr>
              <w:pStyle w:val="Normal"/>
              <w:spacing w:lineRule="auto" w:line="240" w:before="0" w:after="0"/>
              <w:jc w:val="center"/>
              <w:rPr/>
            </w:pPr>
            <w:r>
              <w:rPr/>
              <w:t>178,2</w:t>
            </w:r>
          </w:p>
        </w:tc>
        <w:tc>
          <w:tcPr>
            <w:tcW w:w="1794" w:type="dxa"/>
            <w:tcBorders>
              <w:top w:val="single" w:sz="4" w:space="0" w:color="000000"/>
            </w:tcBorders>
            <w:vAlign w:val="center"/>
          </w:tcPr>
          <w:p>
            <w:pPr>
              <w:pStyle w:val="Normal"/>
              <w:spacing w:lineRule="auto" w:line="240" w:before="0" w:after="0"/>
              <w:jc w:val="center"/>
              <w:rPr/>
            </w:pPr>
            <w:r>
              <w:rPr/>
              <w:t>2:58</w:t>
            </w:r>
          </w:p>
        </w:tc>
        <w:tc>
          <w:tcPr>
            <w:tcW w:w="1792" w:type="dxa"/>
            <w:tcBorders>
              <w:top w:val="single" w:sz="4" w:space="0" w:color="000000"/>
            </w:tcBorders>
            <w:vAlign w:val="center"/>
          </w:tcPr>
          <w:p>
            <w:pPr>
              <w:pStyle w:val="Normal"/>
              <w:spacing w:lineRule="auto" w:line="240" w:before="0" w:after="0"/>
              <w:jc w:val="center"/>
              <w:rPr/>
            </w:pPr>
            <w:r>
              <w:rPr/>
              <w:t>141,2</w:t>
            </w:r>
          </w:p>
        </w:tc>
        <w:tc>
          <w:tcPr>
            <w:tcW w:w="1793" w:type="dxa"/>
            <w:tcBorders>
              <w:top w:val="single" w:sz="4" w:space="0" w:color="000000"/>
            </w:tcBorders>
            <w:vAlign w:val="center"/>
          </w:tcPr>
          <w:p>
            <w:pPr>
              <w:pStyle w:val="Normal"/>
              <w:spacing w:lineRule="auto" w:line="240" w:before="0" w:after="0"/>
              <w:jc w:val="center"/>
              <w:rPr/>
            </w:pPr>
            <w:r>
              <w:rPr/>
              <w:t>213,2</w:t>
            </w:r>
          </w:p>
        </w:tc>
      </w:tr>
    </w:tbl>
    <w:p>
      <w:pPr>
        <w:pStyle w:val="Normal"/>
        <w:spacing w:lineRule="auto" w:line="240" w:before="60" w:after="200"/>
        <w:jc w:val="center"/>
        <w:rPr>
          <w:sz w:val="20"/>
          <w:szCs w:val="20"/>
        </w:rPr>
      </w:pPr>
      <w:r>
        <w:rPr>
          <w:sz w:val="20"/>
          <w:szCs w:val="20"/>
        </w:rPr>
        <w:t>Fonte: Dados da pesquisa (2026).</w:t>
      </w:r>
    </w:p>
    <w:p>
      <w:pPr>
        <w:pStyle w:val="Normal"/>
        <w:widowControl/>
        <w:spacing w:lineRule="auto" w:line="360" w:before="0" w:after="120"/>
        <w:ind w:left="0" w:right="0" w:firstLine="709"/>
        <w:jc w:val="both"/>
        <w:rPr/>
      </w:pPr>
      <w:r>
        <w:rPr/>
        <w:t>A Tabela 3 aplica o tempo médio de cada método às 12 intervenções anuais previstas e ao custo da hora do mecânico (seção 2.2.4).</w:t>
      </w:r>
    </w:p>
    <w:p>
      <w:pPr>
        <w:pStyle w:val="Normal"/>
        <w:keepNext w:val="true"/>
        <w:spacing w:lineRule="auto" w:line="240" w:before="200" w:after="80"/>
        <w:jc w:val="center"/>
        <w:rPr>
          <w:b/>
          <w:b/>
          <w:bCs/>
          <w:sz w:val="20"/>
          <w:szCs w:val="20"/>
        </w:rPr>
      </w:pPr>
      <w:bookmarkStart w:id="27" w:name="pag07"/>
      <w:bookmarkEnd w:id="27"/>
      <w:r>
        <w:rPr>
          <w:b/>
          <w:bCs/>
          <w:sz w:val="20"/>
          <w:szCs w:val="20"/>
        </w:rPr>
        <w:t>Tabela 3 – Ganho de tempo e custo evitado por ano, por redutor</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Indicador</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Tradicional</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QR Code</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Ganho</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Tempo médio por intervenção</w:t>
            </w:r>
          </w:p>
        </w:tc>
        <w:tc>
          <w:tcPr>
            <w:tcW w:w="1999" w:type="dxa"/>
            <w:tcBorders/>
            <w:vAlign w:val="center"/>
          </w:tcPr>
          <w:p>
            <w:pPr>
              <w:pStyle w:val="Normal"/>
              <w:spacing w:lineRule="auto" w:line="240" w:before="0" w:after="0"/>
              <w:jc w:val="center"/>
              <w:rPr/>
            </w:pPr>
            <w:r>
              <w:rPr/>
              <w:t>10 min 37 s</w:t>
            </w:r>
          </w:p>
        </w:tc>
        <w:tc>
          <w:tcPr>
            <w:tcW w:w="2000" w:type="dxa"/>
            <w:tcBorders/>
            <w:vAlign w:val="center"/>
          </w:tcPr>
          <w:p>
            <w:pPr>
              <w:pStyle w:val="Normal"/>
              <w:spacing w:lineRule="auto" w:line="240" w:before="0" w:after="0"/>
              <w:jc w:val="center"/>
              <w:rPr/>
            </w:pPr>
            <w:r>
              <w:rPr/>
              <w:t>2 min 58 s</w:t>
            </w:r>
          </w:p>
        </w:tc>
        <w:tc>
          <w:tcPr>
            <w:tcW w:w="2001" w:type="dxa"/>
            <w:tcBorders/>
            <w:vAlign w:val="center"/>
          </w:tcPr>
          <w:p>
            <w:pPr>
              <w:pStyle w:val="Normal"/>
              <w:spacing w:lineRule="auto" w:line="240" w:before="0" w:after="0"/>
              <w:jc w:val="center"/>
              <w:rPr/>
            </w:pPr>
            <w:r>
              <w:rPr/>
              <w:t>7 min 39 s</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Tempo em 12 intervenções por ano</w:t>
            </w:r>
          </w:p>
        </w:tc>
        <w:tc>
          <w:tcPr>
            <w:tcW w:w="1999" w:type="dxa"/>
            <w:tcBorders/>
            <w:vAlign w:val="center"/>
          </w:tcPr>
          <w:p>
            <w:pPr>
              <w:pStyle w:val="Normal"/>
              <w:spacing w:lineRule="auto" w:line="240" w:before="0" w:after="0"/>
              <w:jc w:val="center"/>
              <w:rPr/>
            </w:pPr>
            <w:r>
              <w:rPr/>
              <w:t>2,12 h</w:t>
            </w:r>
          </w:p>
        </w:tc>
        <w:tc>
          <w:tcPr>
            <w:tcW w:w="2000" w:type="dxa"/>
            <w:tcBorders/>
            <w:vAlign w:val="center"/>
          </w:tcPr>
          <w:p>
            <w:pPr>
              <w:pStyle w:val="Normal"/>
              <w:spacing w:lineRule="auto" w:line="240" w:before="0" w:after="0"/>
              <w:jc w:val="center"/>
              <w:rPr/>
            </w:pPr>
            <w:r>
              <w:rPr/>
              <w:t>0,59 h</w:t>
            </w:r>
          </w:p>
        </w:tc>
        <w:tc>
          <w:tcPr>
            <w:tcW w:w="2001" w:type="dxa"/>
            <w:tcBorders/>
            <w:vAlign w:val="center"/>
          </w:tcPr>
          <w:p>
            <w:pPr>
              <w:pStyle w:val="Normal"/>
              <w:spacing w:lineRule="auto" w:line="240" w:before="0" w:after="0"/>
              <w:jc w:val="center"/>
              <w:rPr/>
            </w:pPr>
            <w:r>
              <w:rPr/>
              <w:t>1,53 h</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Custo do tempo do mecânico por ano (R$ 14,32/h)</w:t>
            </w:r>
          </w:p>
        </w:tc>
        <w:tc>
          <w:tcPr>
            <w:tcW w:w="1999" w:type="dxa"/>
            <w:tcBorders/>
            <w:vAlign w:val="center"/>
          </w:tcPr>
          <w:p>
            <w:pPr>
              <w:pStyle w:val="Normal"/>
              <w:spacing w:lineRule="auto" w:line="240" w:before="0" w:after="0"/>
              <w:jc w:val="center"/>
              <w:rPr/>
            </w:pPr>
            <w:r>
              <w:rPr/>
              <w:t>R$ 30,41</w:t>
            </w:r>
          </w:p>
        </w:tc>
        <w:tc>
          <w:tcPr>
            <w:tcW w:w="2000" w:type="dxa"/>
            <w:tcBorders/>
            <w:vAlign w:val="center"/>
          </w:tcPr>
          <w:p>
            <w:pPr>
              <w:pStyle w:val="Normal"/>
              <w:spacing w:lineRule="auto" w:line="240" w:before="0" w:after="0"/>
              <w:jc w:val="center"/>
              <w:rPr/>
            </w:pPr>
            <w:r>
              <w:rPr/>
              <w:t>R$ 8,50</w:t>
            </w:r>
          </w:p>
        </w:tc>
        <w:tc>
          <w:tcPr>
            <w:tcW w:w="2001" w:type="dxa"/>
            <w:tcBorders/>
            <w:vAlign w:val="center"/>
          </w:tcPr>
          <w:p>
            <w:pPr>
              <w:pStyle w:val="Normal"/>
              <w:spacing w:lineRule="auto" w:line="240" w:before="0" w:after="0"/>
              <w:jc w:val="center"/>
              <w:rPr/>
            </w:pPr>
            <w:r>
              <w:rPr/>
              <w:t>R$ 21,91</w:t>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Redução do tempo</w:t>
            </w:r>
          </w:p>
        </w:tc>
        <w:tc>
          <w:tcPr>
            <w:tcW w:w="1999" w:type="dxa"/>
            <w:tcBorders>
              <w:top w:val="single" w:sz="4" w:space="0" w:color="000000"/>
            </w:tcBorders>
            <w:vAlign w:val="center"/>
          </w:tcPr>
          <w:p>
            <w:pPr>
              <w:pStyle w:val="Normal"/>
              <w:spacing w:lineRule="auto" w:line="240" w:before="0" w:after="0"/>
              <w:jc w:val="center"/>
              <w:rPr/>
            </w:pPr>
            <w:r>
              <w:rPr/>
              <w:t>–</w:t>
            </w:r>
          </w:p>
        </w:tc>
        <w:tc>
          <w:tcPr>
            <w:tcW w:w="2000" w:type="dxa"/>
            <w:tcBorders>
              <w:top w:val="single" w:sz="4" w:space="0" w:color="000000"/>
            </w:tcBorders>
            <w:vAlign w:val="center"/>
          </w:tcPr>
          <w:p>
            <w:pPr>
              <w:pStyle w:val="Normal"/>
              <w:spacing w:lineRule="auto" w:line="240" w:before="0" w:after="0"/>
              <w:jc w:val="center"/>
              <w:rPr/>
            </w:pPr>
            <w:r>
              <w:rPr/>
              <w:t>–</w:t>
            </w:r>
          </w:p>
        </w:tc>
        <w:tc>
          <w:tcPr>
            <w:tcW w:w="2001" w:type="dxa"/>
            <w:tcBorders>
              <w:top w:val="single" w:sz="4" w:space="0" w:color="000000"/>
            </w:tcBorders>
            <w:vAlign w:val="center"/>
          </w:tcPr>
          <w:p>
            <w:pPr>
              <w:pStyle w:val="Normal"/>
              <w:spacing w:lineRule="auto" w:line="240" w:before="0" w:after="0"/>
              <w:jc w:val="center"/>
              <w:rPr/>
            </w:pPr>
            <w:r>
              <w:rPr/>
              <w:t>72,0 %</w:t>
            </w:r>
          </w:p>
        </w:tc>
      </w:tr>
    </w:tbl>
    <w:p>
      <w:pPr>
        <w:pStyle w:val="Normal"/>
        <w:spacing w:lineRule="auto" w:line="240" w:before="60" w:after="200"/>
        <w:jc w:val="center"/>
        <w:rPr>
          <w:sz w:val="20"/>
          <w:szCs w:val="20"/>
        </w:rPr>
      </w:pPr>
      <w:r>
        <w:rPr>
          <w:sz w:val="20"/>
          <w:szCs w:val="20"/>
        </w:rPr>
        <w:t>Fonte: Dados da pesquisa (2026).</w:t>
      </w:r>
    </w:p>
    <w:p>
      <w:pPr>
        <w:pStyle w:val="Heading3"/>
        <w:rPr/>
      </w:pPr>
      <w:bookmarkStart w:id="28" w:name="pag29"/>
      <w:bookmarkEnd w:id="28"/>
      <w:r>
        <w:rPr/>
        <w:t>2.3.2 Discussão</w:t>
      </w:r>
    </w:p>
    <w:p>
      <w:pPr>
        <w:pStyle w:val="Normal"/>
        <w:widowControl/>
        <w:spacing w:lineRule="auto" w:line="360" w:before="0" w:after="120"/>
        <w:ind w:left="0" w:right="0" w:firstLine="709"/>
        <w:jc w:val="both"/>
        <w:rPr/>
      </w:pPr>
      <w:r>
        <w:rPr/>
        <w:t xml:space="preserve">Todos os participantes foram mais rápidos com o QR Code. O tempo médio caiu de 637,1 s (10 min 37 s) no método tradicional para 178,2 s (2 min 58 s) com o QR Code, uma redução de 72,0 %, ou cerca de 7 min 39 s por intervenção. A redução individual variou de 58,6 % a 80,6 %, e os tempos ficaram mais próximos entre si com o QR Code (de 141 a 213 s) do que no método tradicional (de 515 a 726 s), o que indica que a ficha torna a tarefa mais padronizada e menos dependente de quem a executa. Como só o tempo total foi registrado, não é possível dizer em qual etapa houve a maior redução. Aplicado às 12 intervenções anuais, o ganho é de cerca de 1,53 h por ano e por redutor, que, ao custo de R$ 14,32 por hora do mecânico, corresponde a aproximadamente R$ 21,91 por ano (Tabela 3). O custo de implantação também é baixo: a página foi publicada em um serviço de hospedagem gratuito, e a etiqueta exige apenas impressão, plastificação e fita dupla-face </w:t>
      </w:r>
      <w:r>
        <w:rPr>
          <w:shd w:fill="FFFF00" w:val="clear"/>
        </w:rPr>
        <w:t>[informar o custo da etiqueta]</w:t>
      </w:r>
      <w:r>
        <w:rPr/>
        <w:t>. Assim, o retorno de um único redutor é pequeno em valor, mas positivo, e cresce com o número de equipamentos: para 100 equipamentos, o ganho estimado é de cerca de R$ 2.191 por ano, sem contar o custo da produção parada quando a busca de informações ocorre com o equipamento desligado.</w:t>
      </w:r>
    </w:p>
    <w:p>
      <w:pPr>
        <w:pStyle w:val="Normal"/>
        <w:widowControl/>
        <w:spacing w:lineRule="auto" w:line="360" w:before="0" w:after="12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6</w:t>
      </w:r>
    </w:p>
    <w:p>
      <w:pPr>
        <w:pStyle w:val="Normal"/>
        <w:widowControl/>
        <w:spacing w:lineRule="auto" w:line="360" w:before="0" w:after="120"/>
        <w:ind w:left="0" w:right="0" w:firstLine="709"/>
        <w:jc w:val="both"/>
        <w:rPr/>
      </w:pPr>
      <w:r>
        <w:rPr/>
        <w:t>Deve-se considerar, ainda, que o redutor estudado é de pequeno porte, com carga de 0,87 L de óleo sintético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120"/>
        <w:ind w:left="0" w:right="0" w:firstLine="709"/>
        <w:jc w:val="both"/>
        <w:rPr/>
      </w:pPr>
      <w:r>
        <w:rPr/>
        <w:t>Como limitações do estudo, citam-se a realização da cronometragem em ambiente didático, e não com o redutor instalado em uma linha de produção; a não inclusão do deslocamento e da consulta ao supervisor no método tradicional; o número reduzido de participantes, que impede generalizar os valores para outros contextos; o efeito de aprendizado entre os métodos, já que os participantes executaram primeiro o método tradicional; o registro apenas do tempo total, sem a separação das etapas; o uso de intervalos de troca do manual geral da linha coroa e rosca do fabricante, que traz também a indicação geral de troca a cada 3.500 horas ou anualmente; a identificação da linha e do tamanho do redutor a partir do código da placa, que deve ser confirmada com o fabricante;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9" w:name="pag30"/>
      <w:bookmarkEnd w:id="29"/>
      <w:r>
        <w:rPr/>
        <w:t>3</w:t>
        <w:tab/>
        <w:t>CONCLUSÃO</w:t>
      </w:r>
    </w:p>
    <w:p>
      <w:pPr>
        <w:pStyle w:val="Normal"/>
        <w:widowControl/>
        <w:spacing w:lineRule="auto" w:line="360" w:before="0" w:after="120"/>
        <w:ind w:left="0" w:right="0" w:firstLine="709"/>
        <w:jc w:val="both"/>
        <w:rPr/>
      </w:pPr>
      <w:r>
        <w:rPr/>
        <w:t>O trabalho teve como objetivo reduzir o tempo do mecânico na identificação e no registro da lubrificação de um redutor de coroa e rosca sem fim WEG-Cestari, da linha Magma M, por meio de um QR Code fixado no equipamento. Os resultados respondem ao problema de pesquisa: com a ficha acessada pelo QR Code, o tempo médio para identificar o lubrificante, localizar os pontos e registrar a intervenção caiu de 10 min 37 s para 2 min 58 s, uma redução de 72,0 %, e todos os cinco participantes foram mais rápidos com o QR Code. O objetivo foi, portanto, atingido.</w:t>
      </w:r>
    </w:p>
    <w:p>
      <w:pPr>
        <w:pStyle w:val="Normal"/>
        <w:widowControl/>
        <w:spacing w:lineRule="auto" w:line="360" w:before="0" w:after="120"/>
        <w:ind w:left="0" w:right="0" w:firstLine="709"/>
        <w:jc w:val="both"/>
        <w:rPr/>
      </w:pPr>
      <w:r>
        <w:rPr/>
        <w:t>A solução mostrou-se simples de implantar, por utilizar uma página web acessada pelo celular e uma etiqueta de baixo custo, e coerente com os princípios de Gestão Visual e de TPM. Em um único redutor, o ganho estimado é modesto – cerca de 1,53 h e R$ 21,91 por ano no tempo do mecânico –, mas o benefício cresce com o número de equipamentos atendidos. Além do tempo, a ficha padroniza o acesso às informações, reduz o risco de aplicar o óleo errado, gera um histórico de intervenções para o PCM e passou a mostrar a situação da última análise do óleo. Os resultados devem ser lidos considerando que a cronometragem foi feita em ambiente didático, com poucos participantes, que executaram primeiro o método tradicional.</w:t>
      </w:r>
    </w:p>
    <w:p>
      <w:pPr>
        <w:pStyle w:val="Normal"/>
        <w:widowControl/>
        <w:spacing w:lineRule="auto" w:line="360" w:before="0" w:after="12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análise do óleo do próprio redutor em laboratório, com a amostra coletada na troca, já prevista na ficha a partir do ensaio de aprendizagem,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30" w:name="pag31"/>
      <w:bookmarkEnd w:id="30"/>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DOWSON, D. </w:t>
      </w:r>
      <w:r>
        <w:rPr>
          <w:b/>
          <w:bCs/>
        </w:rPr>
        <w:t>History of tribology</w:t>
      </w:r>
      <w:r>
        <w:rPr/>
        <w:t>. 2. ed. London: Professional Engineering Publishing, 1998.</w:t>
      </w:r>
    </w:p>
    <w:p>
      <w:pPr>
        <w:pStyle w:val="Normal"/>
        <w:spacing w:lineRule="auto" w:line="240" w:before="0" w:after="240"/>
        <w:jc w:val="left"/>
        <w:rPr/>
      </w:pPr>
      <w:r>
        <w:rPr/>
        <w:t xml:space="preserve">3. HYVÖNEN, H. et al. </w:t>
      </w:r>
      <w:r>
        <w:rPr>
          <w:b/>
          <w:bCs/>
        </w:rPr>
        <w:t>System for monitoring and control of the circulation lubrication of the bearings of cylinders and rolls in a paper machine</w:t>
      </w:r>
      <w:r>
        <w:rPr/>
        <w:t>. Titular: Valmet Oy. US 5813496 A. Depósito: 27 fev. 1996. Concessão: 29 set. 1998. Disponível em: https://patents.google.com/patent/US5813496A/en. Acesso em: 14 out. 2026.</w:t>
      </w:r>
    </w:p>
    <w:p>
      <w:pPr>
        <w:pStyle w:val="Normal"/>
        <w:spacing w:lineRule="auto" w:line="240" w:before="0" w:after="240"/>
        <w:jc w:val="left"/>
        <w:rPr/>
      </w:pPr>
      <w:r>
        <w:rPr/>
        <w:t xml:space="preserve">4. HINK, R. Best lubrication practices for the paper industry. </w:t>
      </w:r>
      <w:r>
        <w:rPr>
          <w:b/>
          <w:bCs/>
        </w:rPr>
        <w:t>Machinery Lubrication</w:t>
      </w:r>
      <w:r>
        <w:rPr/>
        <w:t>, Tulsa, jan. 2005. Disponível em: https://www.machinerylubrication.com/Read/709/paper-industry-lubrication. Acesso em: 14 out. 2026.</w:t>
      </w:r>
    </w:p>
    <w:p>
      <w:pPr>
        <w:pStyle w:val="Normal"/>
        <w:spacing w:lineRule="auto" w:line="240" w:before="0" w:after="240"/>
        <w:jc w:val="left"/>
        <w:rPr/>
      </w:pPr>
      <w:r>
        <w:rPr/>
        <w:t xml:space="preserve">5. AGÊNCIA SENADO. </w:t>
      </w:r>
      <w:r>
        <w:rPr>
          <w:b/>
          <w:bCs/>
        </w:rPr>
        <w:t>Sancionada lei que dá o título de Capital Nacional da Celulose a Três Lagoas (MS)</w:t>
      </w:r>
      <w:r>
        <w:rPr/>
        <w:t>. Brasília, DF, 20 abr. 2021. Disponível em: https://www12.senado.leg.br/noticias/materias/2021/04/20/sancionada-lei-que-da-o-titulo-de-capital-nacional-da-celulose-a-tres-lagoas-ms. Acesso em: 14 out. 2026.</w:t>
      </w:r>
    </w:p>
    <w:p>
      <w:pPr>
        <w:pStyle w:val="Normal"/>
        <w:spacing w:lineRule="auto" w:line="240" w:before="0" w:after="240"/>
        <w:jc w:val="left"/>
        <w:rPr/>
      </w:pPr>
      <w:r>
        <w:rPr/>
        <w:t xml:space="preserve">6.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7.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8.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9.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10. OSADA, T. </w:t>
      </w:r>
      <w:r>
        <w:rPr>
          <w:b/>
          <w:bCs/>
        </w:rPr>
        <w:t>Housekeeping, 5S</w:t>
      </w:r>
      <w:r>
        <w:rPr/>
        <w:t>: seiri, seiton, seiso, seiketsu, shitsuke. São Paulo: Instituto IMAM, 1992.</w:t>
      </w:r>
    </w:p>
    <w:p>
      <w:pPr>
        <w:pStyle w:val="Normal"/>
        <w:spacing w:lineRule="auto" w:line="240" w:before="0" w:after="240"/>
        <w:jc w:val="left"/>
        <w:rPr/>
      </w:pPr>
      <w:r>
        <w:rPr/>
        <w:t xml:space="preserve">11. GALSWORTH, G. D. </w:t>
      </w:r>
      <w:r>
        <w:rPr>
          <w:b/>
          <w:bCs/>
        </w:rPr>
        <w:t>Visual workplace visual thinking</w:t>
      </w:r>
      <w:r>
        <w:rPr/>
        <w:t>: creating enterprise excellence through the technologies of the visual workplace. 2. ed. New York: Productivity Press, 2017.</w:t>
      </w:r>
    </w:p>
    <w:p>
      <w:pPr>
        <w:pStyle w:val="Normal"/>
        <w:spacing w:lineRule="auto" w:line="240" w:before="0" w:after="240"/>
        <w:jc w:val="left"/>
        <w:rPr/>
      </w:pPr>
      <w:r>
        <w:rPr/>
        <w:t xml:space="preserve">12.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13. BRASIL. Conselho Nacional do Meio Ambiente. </w:t>
      </w:r>
      <w:r>
        <w:rPr>
          <w:b/>
          <w:bCs/>
        </w:rPr>
        <w:t>Resolução CONAMA nº 362, de 23 de junho de 2005</w:t>
      </w:r>
      <w:r>
        <w:rPr/>
        <w:t>. Dispõe sobre o recolhimento, coleta e destinação final de óleo lubrificante usado ou contaminado. Brasília, DF: CONAMA, 2005.</w:t>
      </w:r>
    </w:p>
    <w:p>
      <w:pPr>
        <w:pStyle w:val="Normal"/>
        <w:spacing w:lineRule="auto" w:line="240" w:before="0" w:after="240"/>
        <w:jc w:val="left"/>
        <w:rPr/>
      </w:pPr>
      <w:r>
        <w:rPr/>
        <w:t xml:space="preserve">14. BRASIL. Ministério do Trabalho e Emprego. </w:t>
      </w:r>
      <w:r>
        <w:rPr>
          <w:b/>
          <w:bCs/>
        </w:rPr>
        <w:t>NR 12</w:t>
      </w:r>
      <w:r>
        <w:rPr/>
        <w:t>: segurança no trabalho em máquinas e equipamentos. Brasília, DF: MTE, 2019.</w:t>
      </w:r>
    </w:p>
    <w:p>
      <w:pPr>
        <w:pStyle w:val="Normal"/>
        <w:spacing w:lineRule="auto" w:line="240" w:before="0" w:after="240"/>
        <w:jc w:val="left"/>
        <w:rPr/>
      </w:pPr>
      <w:r>
        <w:rPr/>
        <w:t xml:space="preserve">15. PORTAL SALÁRIO. </w:t>
      </w:r>
      <w:r>
        <w:rPr>
          <w:b/>
          <w:bCs/>
        </w:rPr>
        <w:t>Mecânico de manutenção de máquinas em geral</w:t>
      </w:r>
      <w:r>
        <w:rPr/>
        <w:t>: salário 2026 (CBO 9113-05). [S. l.]: Salario.com.br, 2026. Disponível em: https://www.salario.com.br/profissao/mecanico-de-manutencao-de-maquinas-em-geral-cbo-911305/. Acesso em: 19 out. 2026.</w:t>
      </w:r>
      <w:r>
        <w:br w:type="page"/>
      </w:r>
    </w:p>
    <w:p>
      <w:pPr>
        <w:pStyle w:val="Normal"/>
        <w:spacing w:lineRule="auto" w:line="360" w:before="0" w:after="360"/>
        <w:jc w:val="center"/>
        <w:rPr>
          <w:b/>
          <w:b/>
          <w:bCs/>
        </w:rPr>
      </w:pPr>
      <w:bookmarkStart w:id="31" w:name="pag32"/>
      <w:bookmarkEnd w:id="31"/>
      <w:r>
        <w:rPr>
          <w:b/>
          <w:bCs/>
        </w:rPr>
        <w:t>APÊNDICE A – FOLHA DE COLETA DE TEMPOS</w:t>
      </w:r>
    </w:p>
    <w:p>
      <w:pPr>
        <w:pStyle w:val="Normal"/>
        <w:spacing w:lineRule="auto" w:line="360" w:before="0" w:after="160"/>
        <w:rPr>
          <w:sz w:val="20"/>
          <w:szCs w:val="20"/>
        </w:rPr>
      </w:pPr>
      <w:r>
        <w:rPr>
          <w:sz w:val="20"/>
          <w:szCs w:val="20"/>
        </w:rPr>
        <w:t>Redutor: WEG-Cestari Magma M 06, 1:25 – posição vertical (RED-001)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2" w:name="pag33"/>
      <w:bookmarkEnd w:id="32"/>
      <w:r>
        <w:rPr>
          <w:b/>
          <w:bCs/>
        </w:rPr>
        <w:t>APÊNDICE B – ESPECIFICAÇÃO DA ETIQUETA E DO QR CODE</w:t>
      </w:r>
    </w:p>
    <w:p>
      <w:pPr>
        <w:pStyle w:val="Normal"/>
        <w:widowControl/>
        <w:spacing w:lineRule="auto" w:line="360" w:before="0" w:after="12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120"/>
        <w:ind w:left="0" w:right="0" w:firstLine="709"/>
        <w:jc w:val="both"/>
        <w:rPr/>
      </w:pPr>
      <w:r>
        <w:rPr/>
        <w:t>A etiqueta não deve ser colada sobre a placa de identificação do fabricante, sobre o respiro ou os bujões, nem em regiões que esquentam ou recebem respingos de óleo. No redutor estudado, a etiqueta foi fixada na face superior, logo abaixo da etiqueta já existente no equipamento, região lisa e visível para quem se aproxima do redutor; em outros equipamentos, pode-se usar uma plaqueta de alumínio presa junto à fixação, em local de fácil acesso. Na cronometragem, a etiqueta foi impressa em papel, plastificada e colada com fita dupla-face.</w:t>
      </w:r>
    </w:p>
    <w:p>
      <w:pPr>
        <w:pStyle w:val="Normal"/>
        <w:widowControl/>
        <w:spacing w:lineRule="auto" w:line="360" w:before="0" w:after="12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12</w:t>
      </w:r>
      <w:r>
        <w:rPr/>
        <w:t xml:space="preserve"> Como regra prática, a distância de leitura é de cerca de dez vezes o lado do código; um código de 3 cm × 3 cm permite leitura a aproximadamente 30 cm. Dimensão adotada: 3 cm × 3 cm. Endereço codificado: https://ficha-lubrificacao.vercel.app/l/RED-001. Além do QR Code e do código do equipamento, a etiqueta traz a cor do galão e o tag do óleo, com o nome da cor escrito por extenso, para que a identificação não dependa de impressão colorida. A etiqueta da inspeção, do outro projeto integrador, leva ao endereço https://ficha-lubrificacao.vercel.app/i/RED-001, e cada galão de óleo recebe uma etiqueta própria, com QR Code que abre a página do óleo e é usado na conferência do galão antes do abastecimento.</w:t>
      </w:r>
      <w:r>
        <w:br w:type="page"/>
      </w:r>
    </w:p>
    <w:p>
      <w:pPr>
        <w:pStyle w:val="Normal"/>
        <w:spacing w:lineRule="auto" w:line="360" w:before="0" w:after="360"/>
        <w:jc w:val="center"/>
        <w:rPr>
          <w:b/>
          <w:b/>
          <w:bCs/>
        </w:rPr>
      </w:pPr>
      <w:bookmarkStart w:id="33" w:name="pag34"/>
      <w:bookmarkEnd w:id="33"/>
      <w:r>
        <w:rPr>
          <w:b/>
          <w:bCs/>
        </w:rPr>
        <w:t>APÊNDICE C – TELAS DO PROTÓTIPO</w:t>
      </w:r>
    </w:p>
    <w:p>
      <w:pPr>
        <w:pStyle w:val="Normal"/>
        <w:keepNext w:val="true"/>
        <w:spacing w:lineRule="auto" w:line="240" w:before="200" w:after="80"/>
        <w:jc w:val="center"/>
        <w:rPr>
          <w:b/>
          <w:b/>
          <w:bCs/>
          <w:sz w:val="20"/>
          <w:szCs w:val="20"/>
        </w:rPr>
      </w:pPr>
      <w:bookmarkStart w:id="34" w:name="pag04"/>
      <w:bookmarkEnd w:id="34"/>
      <w:r>
        <w:rPr>
          <w:b/>
          <w:bCs/>
          <w:sz w:val="20"/>
          <w:szCs w:val="20"/>
        </w:rPr>
        <w:t>Figura 2 – Telas da ficha digital do redutor RED-001: segurança e vida útil do óleo, com as datas da última e da próxima troca (à esquerda); modelo tridimensional com a localização do bujão de nível e a fotografia do redutor (ao centro); registro da intervenção (à direita)</w:t>
      </w:r>
    </w:p>
    <w:p>
      <w:pPr>
        <w:pStyle w:val="Normal"/>
        <w:spacing w:lineRule="auto" w:line="240" w:before="0" w:after="0"/>
        <w:ind w:left="0" w:right="0" w:hanging="0"/>
        <w:jc w:val="center"/>
        <w:rPr/>
      </w:pPr>
      <w:r>
        <w:rPr/>
        <w:drawing>
          <wp:inline distT="0" distB="0" distL="0" distR="0">
            <wp:extent cx="1800225" cy="3895725"/>
            <wp:effectExtent l="0" t="0" r="0" b="0"/>
            <wp:docPr id="4"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1"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2"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6"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la3" descr=""/>
                    <pic:cNvPicPr>
                      <a:picLocks noChangeAspect="1" noChangeArrowheads="1"/>
                    </pic:cNvPicPr>
                  </pic:nvPicPr>
                  <pic:blipFill>
                    <a:blip r:embed="rId7"/>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Elaborado pelos autores (2026).</w:t>
      </w:r>
      <w:r>
        <w:br w:type="page"/>
      </w:r>
    </w:p>
    <w:p>
      <w:pPr>
        <w:pStyle w:val="Normal"/>
        <w:spacing w:lineRule="auto" w:line="360" w:before="0" w:after="360"/>
        <w:jc w:val="center"/>
        <w:rPr>
          <w:b/>
          <w:b/>
          <w:bCs/>
        </w:rPr>
      </w:pPr>
      <w:bookmarkStart w:id="35" w:name="pag37"/>
      <w:bookmarkEnd w:id="35"/>
      <w:r>
        <w:rPr>
          <w:b/>
          <w:bCs/>
        </w:rPr>
        <w:t>APÊNDICE D – COMPONENTES DO REDUTOR E TAGS</w:t>
      </w:r>
    </w:p>
    <w:p>
      <w:pPr>
        <w:pStyle w:val="Normal"/>
        <w:widowControl/>
        <w:spacing w:lineRule="auto" w:line="360" w:before="0" w:after="120"/>
        <w:ind w:left="0" w:right="0" w:firstLine="709"/>
        <w:jc w:val="both"/>
        <w:rPr/>
      </w:pPr>
      <w:r>
        <w:rPr/>
        <w:t>Sem o manual de peças do fabricante, os componentes do redutor RED-001 foram identificados no modelo tridimensional da ficha digital. A Figura 3 mostra o modelo em vista explodida, com os componentes numerados, e em corte; o Quadro 4 relaciona cada número ao componente e ao seu tag. O tag completo de cada componente é formado pelo tag do equipamento seguido do código da peça, por exemplo RED-001-COR-01.</w:t>
      </w:r>
    </w:p>
    <w:p>
      <w:pPr>
        <w:pStyle w:val="Normal"/>
        <w:keepNext w:val="true"/>
        <w:spacing w:lineRule="auto" w:line="240" w:before="200" w:after="80"/>
        <w:jc w:val="center"/>
        <w:rPr>
          <w:b/>
          <w:b/>
          <w:bCs/>
          <w:sz w:val="20"/>
          <w:szCs w:val="20"/>
        </w:rPr>
      </w:pPr>
      <w:bookmarkStart w:id="36" w:name="pag35"/>
      <w:bookmarkEnd w:id="36"/>
      <w:r>
        <w:rPr>
          <w:b/>
          <w:bCs/>
          <w:sz w:val="20"/>
          <w:szCs w:val="20"/>
        </w:rPr>
        <w:t>Figura 3 – Modelo tridimensional do redutor RED-001: vista explodida com os componentes numerados (à esquerda) e vista em corte, com a carcaça transparente (à direita)</w:t>
      </w:r>
    </w:p>
    <w:p>
      <w:pPr>
        <w:pStyle w:val="Normal"/>
        <w:spacing w:lineRule="auto" w:line="240" w:before="0" w:after="0"/>
        <w:ind w:left="0" w:right="0" w:hanging="0"/>
        <w:jc w:val="center"/>
        <w:rPr/>
      </w:pPr>
      <w:r>
        <w:rPr/>
        <w:drawing>
          <wp:inline distT="0" distB="0" distL="0" distR="0">
            <wp:extent cx="3128645" cy="2447925"/>
            <wp:effectExtent l="0" t="0" r="0" b="0"/>
            <wp:docPr id="7" name="Explodida"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xplodida" descr=""/>
                    <pic:cNvPicPr>
                      <a:picLocks noChangeAspect="1" noChangeArrowheads="1"/>
                    </pic:cNvPicPr>
                  </pic:nvPicPr>
                  <pic:blipFill>
                    <a:blip r:embed="rId8"/>
                    <a:stretch>
                      <a:fillRect/>
                    </a:stretch>
                  </pic:blipFill>
                  <pic:spPr bwMode="auto">
                    <a:xfrm>
                      <a:off x="0" y="0"/>
                      <a:ext cx="3128645" cy="2447925"/>
                    </a:xfrm>
                    <a:prstGeom prst="rect">
                      <a:avLst/>
                    </a:prstGeom>
                    <a:ln w="6350">
                      <a:solidFill>
                        <a:srgbClr val="808080"/>
                      </a:solidFill>
                    </a:ln>
                  </pic:spPr>
                </pic:pic>
              </a:graphicData>
            </a:graphic>
          </wp:inline>
        </w:drawing>
      </w:r>
      <w:r>
        <w:rPr/>
        <w:t xml:space="preserve">  </w:t>
      </w:r>
      <w:r>
        <w:rPr/>
        <w:drawing>
          <wp:inline distT="0" distB="0" distL="0" distR="0">
            <wp:extent cx="2435225" cy="2447925"/>
            <wp:effectExtent l="0" t="0" r="0" b="0"/>
            <wp:docPr id="8" name="Cort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orte" descr=""/>
                    <pic:cNvPicPr>
                      <a:picLocks noChangeAspect="1" noChangeArrowheads="1"/>
                    </pic:cNvPicPr>
                  </pic:nvPicPr>
                  <pic:blipFill>
                    <a:blip r:embed="rId9"/>
                    <a:stretch>
                      <a:fillRect/>
                    </a:stretch>
                  </pic:blipFill>
                  <pic:spPr bwMode="auto">
                    <a:xfrm>
                      <a:off x="0" y="0"/>
                      <a:ext cx="2435225" cy="244792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Elaborado pelos autores (2026).</w:t>
      </w:r>
      <w:r>
        <w:br w:type="page"/>
      </w:r>
    </w:p>
    <w:p>
      <w:pPr>
        <w:pStyle w:val="Normal"/>
        <w:keepNext w:val="true"/>
        <w:spacing w:lineRule="auto" w:line="240" w:before="200" w:after="80"/>
        <w:jc w:val="center"/>
        <w:rPr>
          <w:b/>
          <w:b/>
          <w:bCs/>
          <w:sz w:val="20"/>
          <w:szCs w:val="20"/>
        </w:rPr>
      </w:pPr>
      <w:bookmarkStart w:id="37" w:name="pag36"/>
      <w:bookmarkEnd w:id="37"/>
      <w:r>
        <w:rPr>
          <w:b/>
          <w:bCs/>
          <w:sz w:val="20"/>
          <w:szCs w:val="20"/>
        </w:rPr>
        <w:t>Quadro 4 – Componentes do redutor RED-001 e tags</w:t>
      </w:r>
    </w:p>
    <w:tbl>
      <w:tblPr>
        <w:tblW w:w="9071" w:type="dxa"/>
        <w:jc w:val="left"/>
        <w:tblInd w:w="0" w:type="dxa"/>
        <w:tblLayout w:type="fixed"/>
        <w:tblCellMar>
          <w:top w:w="70" w:type="dxa"/>
          <w:left w:w="100" w:type="dxa"/>
          <w:bottom w:w="70" w:type="dxa"/>
          <w:right w:w="100" w:type="dxa"/>
        </w:tblCellMar>
      </w:tblPr>
      <w:tblGrid>
        <w:gridCol w:w="2267"/>
        <w:gridCol w:w="1701"/>
        <w:gridCol w:w="1275"/>
        <w:gridCol w:w="3828"/>
      </w:tblGrid>
      <w:tr>
        <w:trPr>
          <w:tblHeader w:val="true"/>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Nº</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Componente</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Tag</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Material e função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Carcaça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CAR-01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Ferro fundido pintado; aloja os eixos e guarda o óleo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2</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Placa de identificação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PLC-01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Placa metálica rebitada; identifica série, código, redução e óleo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3</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Respiro (enchimento)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RSP-01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Latão; alivia a pressão interna e serve de furo de enchimento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4</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Bujões de nível</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NIV-01, NIV-02</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zincado com arruela de vedação; o NIV-02 (do meio) indica o nível na posição adotada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5</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Bujões de dreno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DRE-01, DRE-02</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zincado com arruela de vedação; escoamento do óleo na troca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6</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Bronze com cubo de aço; engrenagem movida da redução 1:25</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7</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Chaveta da coroa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CHV-01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trava a coroa no eixo de saída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8</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Eixo de saída vazado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EIX-01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entrega o movimento reduzido (70 rpm) à máquina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9</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Rolamentos do eixo de saída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ROL-01, ROL-02</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para rolamentos; apoiam o eixo de saída dos dois lados da coroa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10</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Rosca sem fim / eixo de entrada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RSF-01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recebe o giro do motor (1.750 rpm) e aciona a coroa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11</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Rolamentos da rosca sem fim</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ROL-03, ROL-04</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para rolamentos; apoiam a rosca e o esforço axial</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12</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RET-01 a RET-03</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Borracha nitrílica com armação de aço; vedam a passagem dos eixos</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13</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Tampas</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TMP-01 a TMP-03</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Tampa do eixo de saída, tampa cega da rosca e tampa central da flange</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14</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Parafusos das tampas</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PAR-01 a PAR-10</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fixam as tampas (6 na tampa do eixo de saída e 4 na flange)</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15</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Etiqueta com QR Code</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QR-01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Papel plastificado; abre a ficha digital do redutor</w:t>
            </w:r>
          </w:p>
        </w:tc>
      </w:tr>
    </w:tbl>
    <w:p>
      <w:pPr>
        <w:pStyle w:val="Normal"/>
        <w:spacing w:lineRule="auto" w:line="240" w:before="60" w:after="200"/>
        <w:jc w:val="center"/>
        <w:rPr>
          <w:sz w:val="20"/>
          <w:szCs w:val="20"/>
        </w:rPr>
      </w:pPr>
      <w:r>
        <w:rPr>
          <w:sz w:val="20"/>
          <w:szCs w:val="20"/>
        </w:rPr>
        <w:t>Fonte: Elaborado pelos autores (2026). Numeração igual à da Figura 3. Componentes internos (6 a 12) ilustrativos, a confirmar na desmontagem.</w:t>
      </w:r>
    </w:p>
    <w:sectPr>
      <w:headerReference w:type="default" r:id="rId10"/>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5">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6">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23">
          <wp:simplePos x="0" y="0"/>
          <wp:positionH relativeFrom="page">
            <wp:posOffset>0</wp:posOffset>
          </wp:positionH>
          <wp:positionV relativeFrom="page">
            <wp:posOffset>0</wp:posOffset>
          </wp:positionV>
          <wp:extent cx="7560310" cy="10692130"/>
          <wp:effectExtent l="0" t="0" r="0" b="0"/>
          <wp:wrapNone/>
          <wp:docPr id="9"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36</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