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cronometrado o tempo total das etapas de identificação do lubrificante, localização dos pontos e registro, consultando a placa e o manual do fabricante (método tradicional) e a ficha acessada pelo QR Code. Os dados permitem calcular a redução percentual do tempo, o ganho anual e uma estimativa de retorno financeiro, relacionando-os ao tempo de execução da manutenção preventiva e aos princípios da Manutenção Produtiva Total. O tempo médio caiu de 10 min 37 s no método tradicional para 2 min 58 s com o QR Code, redução de 72,0 %, e todos os participantes foram mais rápidos com a ficha; o ganho estimado é de cerca de 1,53 h e R$ 21,91 por ano por redutor, valor que cresce com o número de equipamentos atendidos.</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had the total time of the identification, point location and recording steps measured, consulting the nameplate and the manufacturer's manual (traditional method) and the data sheet accessed by the QR Code. The data allow the calculation of the percentage time reduction, the annual gain and an estimate of financial return, relating them to the execution time of preventive maintenance and to the principles of Total Productive Maintenance. The mean time fell from 10 min 37 s with the traditional method to 2 min 58 s with the QR Code, a 72.0 % reduction, and all participants were faster with the data sheet; the estimated gain is about 1.53 h and R$ 21.91 per year per reducer, a value that grows with the number of equipment items covered.</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3 – Vista explodida e em corte do redutor RED-001</w:t>
      </w:r>
      <w:r>
        <w:rPr>
          <w:sz w:val="24"/>
          <w:szCs w:val="24"/>
        </w:rPr>
        <w:tab/>
      </w:r>
      <w:r>
        <w:rPr>
          <w:sz w:val="24"/>
          <w:szCs w:val="24"/>
        </w:rPr>
        <w:fldChar w:fldCharType="begin"/>
      </w:r>
      <w:r>
        <w:rPr>
          <w:sz w:val="24"/>
          <w:szCs w:val="24"/>
        </w:rPr>
        <w:instrText xml:space="preserve"> PAGEREF pag35 \h </w:instrText>
      </w:r>
      <w:r>
        <w:rPr>
          <w:sz w:val="24"/>
          <w:szCs w:val="24"/>
        </w:rPr>
        <w:fldChar w:fldCharType="separate"/>
      </w:r>
      <w:r>
        <w:rPr>
          <w:sz w:val="24"/>
          <w:szCs w:val="24"/>
        </w:rPr>
        <w:t>35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4 – Componentes do redutor RED-001 e tags</w:t>
      </w:r>
      <w:r>
        <w:rPr>
          <w:sz w:val="24"/>
          <w:szCs w:val="24"/>
        </w:rPr>
        <w:tab/>
      </w:r>
      <w:r>
        <w:rPr>
          <w:sz w:val="24"/>
          <w:szCs w:val="24"/>
        </w:rPr>
        <w:fldChar w:fldCharType="begin"/>
      </w:r>
      <w:r>
        <w:rPr>
          <w:sz w:val="24"/>
          <w:szCs w:val="24"/>
        </w:rPr>
        <w:instrText xml:space="preserve"> PAGEREF pag36 \h </w:instrText>
      </w:r>
      <w:r>
        <w:rPr>
          <w:sz w:val="24"/>
          <w:szCs w:val="24"/>
        </w:rPr>
        <w:fldChar w:fldCharType="separate"/>
      </w:r>
      <w:r>
        <w:rPr>
          <w:sz w:val="24"/>
          <w:szCs w:val="24"/>
        </w:rPr>
        <w:t>36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 total da tarefa por participante nos dois métodos</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Resumo dos tempos por método</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Ganho de tempo e custo evitado por ano, por redutor</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34</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D – COMPONENTES DO REDUTOR E TAGS</w:t>
      </w:r>
      <w:r>
        <w:rPr>
          <w:sz w:val="24"/>
          <w:szCs w:val="24"/>
        </w:rPr>
        <w:tab/>
      </w:r>
      <w:r>
        <w:rPr>
          <w:sz w:val="24"/>
          <w:szCs w:val="24"/>
        </w:rPr>
        <w:fldChar w:fldCharType="begin"/>
      </w:r>
      <w:r>
        <w:rPr>
          <w:sz w:val="24"/>
          <w:szCs w:val="24"/>
        </w:rPr>
        <w:instrText xml:space="preserve"> PAGEREF pag37 \h </w:instrText>
      </w:r>
      <w:r>
        <w:rPr>
          <w:sz w:val="24"/>
          <w:szCs w:val="24"/>
        </w:rPr>
        <w:fldChar w:fldCharType="separate"/>
      </w:r>
      <w:r>
        <w:rPr>
          <w:sz w:val="24"/>
          <w:szCs w:val="24"/>
        </w:rPr>
        <w:t>35</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do próprio redutor (feita apenas como ensaio de aprendizagem, com o óleo de outro equipamento, seção 2.2.2),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Fundida, pintada em azul sobre fundo vermelho, com sapatas de fixação ferro fundido (não é de alumínio, conforme verificado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Normal"/>
        <w:widowControl/>
        <w:spacing w:lineRule="auto" w:line="360" w:before="0" w:after="120"/>
        <w:ind w:left="0" w:right="0" w:firstLine="709"/>
        <w:jc w:val="both"/>
        <w:rPr/>
      </w:pPr>
      <w:r>
        <w:rPr/>
        <w:t>Como a equipe não teve acesso ao manual de peças do fabricante, o mesmo modelo foi ampliado para servir de referência dos componentes do redutor. Na vista explodida, as peças se afastam da carcaça e recebem um número; ao tocar no número ou na peça, a ficha mostra o nome, o tipo, o material, a função, o que observar na inspeção e as falhas mais comuns, além do tag do componente, formado pelo tag do equipamento e pelo código da peça (por exemplo, RED-001-COR-01 para a coroa). Uma vista em corte deixa a carcaça transparente e mostra a coroa de bronze, a rosca sem fim, os rolamentos e os eixos. As peças externas foram desenhadas a partir das fotografias e das medidas do redutor da oficina; as internas seguem o arranjo usual de um redutor coroa e rosca e são ilustrativas, devendo ter quantidades, medidas e códigos confirmados em uma desmontagem. A vista explodida e a lista de componentes com os tags estão no Apêndice D (Figura 3 e Quadro 4).</w:t>
      </w:r>
    </w:p>
    <w:p>
      <w:pPr>
        <w:pStyle w:val="Normal"/>
        <w:widowControl/>
        <w:spacing w:lineRule="auto" w:line="360" w:before="0" w:after="120"/>
        <w:ind w:left="0" w:right="0" w:firstLine="709"/>
        <w:jc w:val="both"/>
        <w:rPr/>
      </w:pPr>
      <w:r>
        <w:rPr/>
        <w:t>Para aprender o método de acompanhamento da condição do óleo, a equipe fez, no laboratório do SENAI Três Lagoas, com o auxílio do professor João Vitor de Moura Barbosa, um ensaio de viscosidade com um viscosímetro rotacional digital (Marte MVD-8): mediu o óleo novo e o óleo usado drenado de um torno da oficina, ambos Ipiranga Ipitur HLP ISO VG 68. Como as amostras estavam em temperaturas diferentes (22,7 °C e 27,3 °C), os valores foram levados à mesma temperatura pela curva viscosidade × temperatura do óleo, calculada pela equação de Walther (ASTM D341) com os dados da ficha técnica do fabricante. O óleo novo medido ficou cerca de 8 % abaixo do valor típico informado na ficha técnica (≈ 66 cSt estimados a 40 °C, contra 70,9 cSt), dentro da faixa do grau ISO VG 68 (61,2 a 74,8 cSt), o que confirmou o óleo indicado na embalagem. O óleo usado apresentou viscosidade cerca de 17 % menor que a do óleo novo, além de aspecto esverdeado e turvo e depósito no fundo do béquer, indícios de contaminação. A partir desse ensaio, a ficha do redutor passou a mostrar, logo abaixo da vida útil do óleo, um cartão “Última análise do óleo” com semáforo, segundo critério adotado pelos autores e usual em programas de análise de óleo: variação de viscosidade de até 10 % em relação ao óleo novo, normal; de 10 a 20 %, atenção; acima de 20 %, crítico. Enquanto o óleo do próprio redutor não é analisado – a amostra será coletada na próxima troca, já que a carga é de apenas 0,87 L –, o cartão exibe o ensaio de aprendizagem, identificado como tal, e permite registrar a primeira análise do redutor, cuja variação é calculada pela própria ficha.</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Para avaliar o ganho de tempo, foi realizada uma cronometragem em ambiente didático com cinco participantes, alunos da turma TEC.203.PRE.008-TL do curso Técnico em Mecânica do SENAI Três Lagoas, cada um executando a tarefa pelos dois métodos na oficina de mecânica, junto ao redutor. No método tradicional, o participante consultou a placa de identificação e o manual da linha coroa e rosca do fabricante, em PDF no celular, e registrou a intervenção em formulário de papel. No método com QR Code, escaneou a etiqueta impressa, afixada no próprio redutor, leu a ficha e registrou a intervenção no celular. Os tempos foram medidos com o cronômetro de um celular. O Quadro 3 apresenta as etapas da tarefa.</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e parado quando o registro foi concluído (formulário em papel preenchido ou registro salvo no celular), de modo que o tempo medido reúne as etapas A, B e C do Quadro 3; as etapas não foram cronometradas separadamente.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o planejamento previa uma ordem contrabalanceada; na execução, porém, os participantes começaram pelo método tradicional, o que pode ter favorecido o método com QR Code, feito em seguida, e é tratado como limitação na seção 2.3.2. A cronometragem não inclui o deslocamento até a sala de manutenção nem a consulta ao supervisor, que ocorrem no método tradicional em campo; por isso, os tempos tradicionais medidos tendem a ser menores que os reais.</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A cronometragem foi realizada em outubro de 2026, na oficina de mecânica do SENAI Três Lagoas, junto ao redutor. A Tabela 1 apresenta o tempo total de cada participante nos dois métodos, a diferença e a redução percentual; a Tabela 2 resume os tempos de cada método.</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 total da tarefa por participante nos dois métodos</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Diferença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t>514,64</w:t>
            </w:r>
          </w:p>
        </w:tc>
        <w:tc>
          <w:tcPr>
            <w:tcW w:w="1794" w:type="dxa"/>
            <w:tcBorders/>
            <w:vAlign w:val="center"/>
          </w:tcPr>
          <w:p>
            <w:pPr>
              <w:pStyle w:val="Normal"/>
              <w:spacing w:lineRule="auto" w:line="240" w:before="0" w:after="0"/>
              <w:jc w:val="center"/>
              <w:rPr/>
            </w:pPr>
            <w:r>
              <w:rPr/>
              <w:t>213,21</w:t>
            </w:r>
          </w:p>
        </w:tc>
        <w:tc>
          <w:tcPr>
            <w:tcW w:w="1792" w:type="dxa"/>
            <w:tcBorders/>
            <w:vAlign w:val="center"/>
          </w:tcPr>
          <w:p>
            <w:pPr>
              <w:pStyle w:val="Normal"/>
              <w:spacing w:lineRule="auto" w:line="240" w:before="0" w:after="0"/>
              <w:jc w:val="center"/>
              <w:rPr/>
            </w:pPr>
            <w:r>
              <w:rPr/>
              <w:t>301,43</w:t>
            </w:r>
          </w:p>
        </w:tc>
        <w:tc>
          <w:tcPr>
            <w:tcW w:w="1793" w:type="dxa"/>
            <w:tcBorders/>
            <w:vAlign w:val="center"/>
          </w:tcPr>
          <w:p>
            <w:pPr>
              <w:pStyle w:val="Normal"/>
              <w:spacing w:lineRule="auto" w:line="240" w:before="0" w:after="0"/>
              <w:jc w:val="center"/>
              <w:rPr/>
            </w:pPr>
            <w:r>
              <w:rPr/>
              <w:t>58,6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t>643,84</w:t>
            </w:r>
          </w:p>
        </w:tc>
        <w:tc>
          <w:tcPr>
            <w:tcW w:w="1794" w:type="dxa"/>
            <w:tcBorders/>
            <w:vAlign w:val="center"/>
          </w:tcPr>
          <w:p>
            <w:pPr>
              <w:pStyle w:val="Normal"/>
              <w:spacing w:lineRule="auto" w:line="240" w:before="0" w:after="0"/>
              <w:jc w:val="center"/>
              <w:rPr/>
            </w:pPr>
            <w:r>
              <w:rPr/>
              <w:t>180,08</w:t>
            </w:r>
          </w:p>
        </w:tc>
        <w:tc>
          <w:tcPr>
            <w:tcW w:w="1792" w:type="dxa"/>
            <w:tcBorders/>
            <w:vAlign w:val="center"/>
          </w:tcPr>
          <w:p>
            <w:pPr>
              <w:pStyle w:val="Normal"/>
              <w:spacing w:lineRule="auto" w:line="240" w:before="0" w:after="0"/>
              <w:jc w:val="center"/>
              <w:rPr/>
            </w:pPr>
            <w:r>
              <w:rPr/>
              <w:t>463,76</w:t>
            </w:r>
          </w:p>
        </w:tc>
        <w:tc>
          <w:tcPr>
            <w:tcW w:w="1793" w:type="dxa"/>
            <w:tcBorders/>
            <w:vAlign w:val="center"/>
          </w:tcPr>
          <w:p>
            <w:pPr>
              <w:pStyle w:val="Normal"/>
              <w:spacing w:lineRule="auto" w:line="240" w:before="0" w:after="0"/>
              <w:jc w:val="center"/>
              <w:rPr/>
            </w:pPr>
            <w:r>
              <w:rPr/>
              <w:t>72,0</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t>726,26</w:t>
            </w:r>
          </w:p>
        </w:tc>
        <w:tc>
          <w:tcPr>
            <w:tcW w:w="1794" w:type="dxa"/>
            <w:tcBorders/>
            <w:vAlign w:val="center"/>
          </w:tcPr>
          <w:p>
            <w:pPr>
              <w:pStyle w:val="Normal"/>
              <w:spacing w:lineRule="auto" w:line="240" w:before="0" w:after="0"/>
              <w:jc w:val="center"/>
              <w:rPr/>
            </w:pPr>
            <w:r>
              <w:rPr/>
              <w:t>141,18</w:t>
            </w:r>
          </w:p>
        </w:tc>
        <w:tc>
          <w:tcPr>
            <w:tcW w:w="1792" w:type="dxa"/>
            <w:tcBorders/>
            <w:vAlign w:val="center"/>
          </w:tcPr>
          <w:p>
            <w:pPr>
              <w:pStyle w:val="Normal"/>
              <w:spacing w:lineRule="auto" w:line="240" w:before="0" w:after="0"/>
              <w:jc w:val="center"/>
              <w:rPr/>
            </w:pPr>
            <w:r>
              <w:rPr/>
              <w:t>585,08</w:t>
            </w:r>
          </w:p>
        </w:tc>
        <w:tc>
          <w:tcPr>
            <w:tcW w:w="1793" w:type="dxa"/>
            <w:tcBorders/>
            <w:vAlign w:val="center"/>
          </w:tcPr>
          <w:p>
            <w:pPr>
              <w:pStyle w:val="Normal"/>
              <w:spacing w:lineRule="auto" w:line="240" w:before="0" w:after="0"/>
              <w:jc w:val="center"/>
              <w:rPr/>
            </w:pPr>
            <w:r>
              <w:rPr/>
              <w:t>80,6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t>654,55</w:t>
            </w:r>
          </w:p>
        </w:tc>
        <w:tc>
          <w:tcPr>
            <w:tcW w:w="1794" w:type="dxa"/>
            <w:tcBorders/>
            <w:vAlign w:val="center"/>
          </w:tcPr>
          <w:p>
            <w:pPr>
              <w:pStyle w:val="Normal"/>
              <w:spacing w:lineRule="auto" w:line="240" w:before="0" w:after="0"/>
              <w:jc w:val="center"/>
              <w:rPr/>
            </w:pPr>
            <w:r>
              <w:rPr/>
              <w:t>178,34</w:t>
            </w:r>
          </w:p>
        </w:tc>
        <w:tc>
          <w:tcPr>
            <w:tcW w:w="1792" w:type="dxa"/>
            <w:tcBorders/>
            <w:vAlign w:val="center"/>
          </w:tcPr>
          <w:p>
            <w:pPr>
              <w:pStyle w:val="Normal"/>
              <w:spacing w:lineRule="auto" w:line="240" w:before="0" w:after="0"/>
              <w:jc w:val="center"/>
              <w:rPr/>
            </w:pPr>
            <w:r>
              <w:rPr/>
              <w:t>476,21</w:t>
            </w:r>
          </w:p>
        </w:tc>
        <w:tc>
          <w:tcPr>
            <w:tcW w:w="1793" w:type="dxa"/>
            <w:tcBorders/>
            <w:vAlign w:val="center"/>
          </w:tcPr>
          <w:p>
            <w:pPr>
              <w:pStyle w:val="Normal"/>
              <w:spacing w:lineRule="auto" w:line="240" w:before="0" w:after="0"/>
              <w:jc w:val="center"/>
              <w:rPr/>
            </w:pPr>
            <w:r>
              <w:rPr/>
              <w:t>72,8</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t>646,28</w:t>
            </w:r>
          </w:p>
        </w:tc>
        <w:tc>
          <w:tcPr>
            <w:tcW w:w="1794" w:type="dxa"/>
            <w:tcBorders/>
            <w:vAlign w:val="center"/>
          </w:tcPr>
          <w:p>
            <w:pPr>
              <w:pStyle w:val="Normal"/>
              <w:spacing w:lineRule="auto" w:line="240" w:before="0" w:after="0"/>
              <w:jc w:val="center"/>
              <w:rPr/>
            </w:pPr>
            <w:r>
              <w:rPr/>
              <w:t>177,94</w:t>
            </w:r>
          </w:p>
        </w:tc>
        <w:tc>
          <w:tcPr>
            <w:tcW w:w="1792" w:type="dxa"/>
            <w:tcBorders/>
            <w:vAlign w:val="center"/>
          </w:tcPr>
          <w:p>
            <w:pPr>
              <w:pStyle w:val="Normal"/>
              <w:spacing w:lineRule="auto" w:line="240" w:before="0" w:after="0"/>
              <w:jc w:val="center"/>
              <w:rPr/>
            </w:pPr>
            <w:r>
              <w:rPr/>
              <w:t>468,34</w:t>
            </w:r>
          </w:p>
        </w:tc>
        <w:tc>
          <w:tcPr>
            <w:tcW w:w="1793" w:type="dxa"/>
            <w:tcBorders/>
            <w:vAlign w:val="center"/>
          </w:tcPr>
          <w:p>
            <w:pPr>
              <w:pStyle w:val="Normal"/>
              <w:spacing w:lineRule="auto" w:line="240" w:before="0" w:after="0"/>
              <w:jc w:val="center"/>
              <w:rPr/>
            </w:pPr>
            <w:r>
              <w:rPr/>
              <w:t>72,5</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t>637,11</w:t>
            </w:r>
          </w:p>
        </w:tc>
        <w:tc>
          <w:tcPr>
            <w:tcW w:w="1794" w:type="dxa"/>
            <w:tcBorders>
              <w:top w:val="single" w:sz="4" w:space="0" w:color="000000"/>
            </w:tcBorders>
            <w:vAlign w:val="center"/>
          </w:tcPr>
          <w:p>
            <w:pPr>
              <w:pStyle w:val="Normal"/>
              <w:spacing w:lineRule="auto" w:line="240" w:before="0" w:after="0"/>
              <w:jc w:val="center"/>
              <w:rPr/>
            </w:pPr>
            <w:r>
              <w:rPr/>
              <w:t>178,15</w:t>
            </w:r>
          </w:p>
        </w:tc>
        <w:tc>
          <w:tcPr>
            <w:tcW w:w="1792" w:type="dxa"/>
            <w:tcBorders>
              <w:top w:val="single" w:sz="4" w:space="0" w:color="000000"/>
            </w:tcBorders>
            <w:vAlign w:val="center"/>
          </w:tcPr>
          <w:p>
            <w:pPr>
              <w:pStyle w:val="Normal"/>
              <w:spacing w:lineRule="auto" w:line="240" w:before="0" w:after="0"/>
              <w:jc w:val="center"/>
              <w:rPr/>
            </w:pPr>
            <w:r>
              <w:rPr/>
              <w:t>458,96</w:t>
            </w:r>
          </w:p>
        </w:tc>
        <w:tc>
          <w:tcPr>
            <w:tcW w:w="1793" w:type="dxa"/>
            <w:tcBorders>
              <w:top w:val="single" w:sz="4" w:space="0" w:color="000000"/>
            </w:tcBorders>
            <w:vAlign w:val="center"/>
          </w:tcPr>
          <w:p>
            <w:pPr>
              <w:pStyle w:val="Normal"/>
              <w:spacing w:lineRule="auto" w:line="240" w:before="0" w:after="0"/>
              <w:jc w:val="center"/>
              <w:rPr/>
            </w:pPr>
            <w:r>
              <w:rPr/>
              <w:t>72,0</w:t>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Resumo dos tempos por método</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Método</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(min:s)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Menor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Maior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Tradicional</w:t>
            </w:r>
          </w:p>
        </w:tc>
        <w:tc>
          <w:tcPr>
            <w:tcW w:w="1792" w:type="dxa"/>
            <w:tcBorders/>
            <w:vAlign w:val="center"/>
          </w:tcPr>
          <w:p>
            <w:pPr>
              <w:pStyle w:val="Normal"/>
              <w:spacing w:lineRule="auto" w:line="240" w:before="0" w:after="0"/>
              <w:jc w:val="center"/>
              <w:rPr/>
            </w:pPr>
            <w:r>
              <w:rPr/>
              <w:t>637,1</w:t>
            </w:r>
          </w:p>
        </w:tc>
        <w:tc>
          <w:tcPr>
            <w:tcW w:w="1794" w:type="dxa"/>
            <w:tcBorders/>
            <w:vAlign w:val="center"/>
          </w:tcPr>
          <w:p>
            <w:pPr>
              <w:pStyle w:val="Normal"/>
              <w:spacing w:lineRule="auto" w:line="240" w:before="0" w:after="0"/>
              <w:jc w:val="center"/>
              <w:rPr/>
            </w:pPr>
            <w:r>
              <w:rPr/>
              <w:t>10:37</w:t>
            </w:r>
          </w:p>
        </w:tc>
        <w:tc>
          <w:tcPr>
            <w:tcW w:w="1792" w:type="dxa"/>
            <w:tcBorders/>
            <w:vAlign w:val="center"/>
          </w:tcPr>
          <w:p>
            <w:pPr>
              <w:pStyle w:val="Normal"/>
              <w:spacing w:lineRule="auto" w:line="240" w:before="0" w:after="0"/>
              <w:jc w:val="center"/>
              <w:rPr/>
            </w:pPr>
            <w:r>
              <w:rPr/>
              <w:t>514,6</w:t>
            </w:r>
          </w:p>
        </w:tc>
        <w:tc>
          <w:tcPr>
            <w:tcW w:w="1793" w:type="dxa"/>
            <w:tcBorders/>
            <w:vAlign w:val="center"/>
          </w:tcPr>
          <w:p>
            <w:pPr>
              <w:pStyle w:val="Normal"/>
              <w:spacing w:lineRule="auto" w:line="240" w:before="0" w:after="0"/>
              <w:jc w:val="center"/>
              <w:rPr/>
            </w:pPr>
            <w:r>
              <w:rPr/>
              <w:t>726,3</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QR Code</w:t>
            </w:r>
          </w:p>
        </w:tc>
        <w:tc>
          <w:tcPr>
            <w:tcW w:w="1792" w:type="dxa"/>
            <w:tcBorders>
              <w:top w:val="single" w:sz="4" w:space="0" w:color="000000"/>
            </w:tcBorders>
            <w:vAlign w:val="center"/>
          </w:tcPr>
          <w:p>
            <w:pPr>
              <w:pStyle w:val="Normal"/>
              <w:spacing w:lineRule="auto" w:line="240" w:before="0" w:after="0"/>
              <w:jc w:val="center"/>
              <w:rPr/>
            </w:pPr>
            <w:r>
              <w:rPr/>
              <w:t>178,2</w:t>
            </w:r>
          </w:p>
        </w:tc>
        <w:tc>
          <w:tcPr>
            <w:tcW w:w="1794" w:type="dxa"/>
            <w:tcBorders>
              <w:top w:val="single" w:sz="4" w:space="0" w:color="000000"/>
            </w:tcBorders>
            <w:vAlign w:val="center"/>
          </w:tcPr>
          <w:p>
            <w:pPr>
              <w:pStyle w:val="Normal"/>
              <w:spacing w:lineRule="auto" w:line="240" w:before="0" w:after="0"/>
              <w:jc w:val="center"/>
              <w:rPr/>
            </w:pPr>
            <w:r>
              <w:rPr/>
              <w:t>2:58</w:t>
            </w:r>
          </w:p>
        </w:tc>
        <w:tc>
          <w:tcPr>
            <w:tcW w:w="1792" w:type="dxa"/>
            <w:tcBorders>
              <w:top w:val="single" w:sz="4" w:space="0" w:color="000000"/>
            </w:tcBorders>
            <w:vAlign w:val="center"/>
          </w:tcPr>
          <w:p>
            <w:pPr>
              <w:pStyle w:val="Normal"/>
              <w:spacing w:lineRule="auto" w:line="240" w:before="0" w:after="0"/>
              <w:jc w:val="center"/>
              <w:rPr/>
            </w:pPr>
            <w:r>
              <w:rPr/>
              <w:t>141,2</w:t>
            </w:r>
          </w:p>
        </w:tc>
        <w:tc>
          <w:tcPr>
            <w:tcW w:w="1793" w:type="dxa"/>
            <w:tcBorders>
              <w:top w:val="single" w:sz="4" w:space="0" w:color="000000"/>
            </w:tcBorders>
            <w:vAlign w:val="center"/>
          </w:tcPr>
          <w:p>
            <w:pPr>
              <w:pStyle w:val="Normal"/>
              <w:spacing w:lineRule="auto" w:line="240" w:before="0" w:after="0"/>
              <w:jc w:val="center"/>
              <w:rPr/>
            </w:pPr>
            <w:r>
              <w:rPr/>
              <w:t>213,2</w:t>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aplica o tempo médio de cada método às 12 intervenções anuais previstas e ao custo da hora do mecânico (seção 2.2.4).</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Ganho de tempo e custo evitado por ano, por redutor</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Indicador</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Ganho</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médio por intervenção</w:t>
            </w:r>
          </w:p>
        </w:tc>
        <w:tc>
          <w:tcPr>
            <w:tcW w:w="1999" w:type="dxa"/>
            <w:tcBorders/>
            <w:vAlign w:val="center"/>
          </w:tcPr>
          <w:p>
            <w:pPr>
              <w:pStyle w:val="Normal"/>
              <w:spacing w:lineRule="auto" w:line="240" w:before="0" w:after="0"/>
              <w:jc w:val="center"/>
              <w:rPr/>
            </w:pPr>
            <w:r>
              <w:rPr/>
              <w:t>10 min 37 s</w:t>
            </w:r>
          </w:p>
        </w:tc>
        <w:tc>
          <w:tcPr>
            <w:tcW w:w="2000" w:type="dxa"/>
            <w:tcBorders/>
            <w:vAlign w:val="center"/>
          </w:tcPr>
          <w:p>
            <w:pPr>
              <w:pStyle w:val="Normal"/>
              <w:spacing w:lineRule="auto" w:line="240" w:before="0" w:after="0"/>
              <w:jc w:val="center"/>
              <w:rPr/>
            </w:pPr>
            <w:r>
              <w:rPr/>
              <w:t>2 min 58 s</w:t>
            </w:r>
          </w:p>
        </w:tc>
        <w:tc>
          <w:tcPr>
            <w:tcW w:w="2001" w:type="dxa"/>
            <w:tcBorders/>
            <w:vAlign w:val="center"/>
          </w:tcPr>
          <w:p>
            <w:pPr>
              <w:pStyle w:val="Normal"/>
              <w:spacing w:lineRule="auto" w:line="240" w:before="0" w:after="0"/>
              <w:jc w:val="center"/>
              <w:rPr/>
            </w:pPr>
            <w:r>
              <w:rPr/>
              <w:t>7 min 39 s</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em 12 intervenções por ano</w:t>
            </w:r>
          </w:p>
        </w:tc>
        <w:tc>
          <w:tcPr>
            <w:tcW w:w="1999" w:type="dxa"/>
            <w:tcBorders/>
            <w:vAlign w:val="center"/>
          </w:tcPr>
          <w:p>
            <w:pPr>
              <w:pStyle w:val="Normal"/>
              <w:spacing w:lineRule="auto" w:line="240" w:before="0" w:after="0"/>
              <w:jc w:val="center"/>
              <w:rPr/>
            </w:pPr>
            <w:r>
              <w:rPr/>
              <w:t>2,12 h</w:t>
            </w:r>
          </w:p>
        </w:tc>
        <w:tc>
          <w:tcPr>
            <w:tcW w:w="2000" w:type="dxa"/>
            <w:tcBorders/>
            <w:vAlign w:val="center"/>
          </w:tcPr>
          <w:p>
            <w:pPr>
              <w:pStyle w:val="Normal"/>
              <w:spacing w:lineRule="auto" w:line="240" w:before="0" w:after="0"/>
              <w:jc w:val="center"/>
              <w:rPr/>
            </w:pPr>
            <w:r>
              <w:rPr/>
              <w:t>0,59 h</w:t>
            </w:r>
          </w:p>
        </w:tc>
        <w:tc>
          <w:tcPr>
            <w:tcW w:w="2001" w:type="dxa"/>
            <w:tcBorders/>
            <w:vAlign w:val="center"/>
          </w:tcPr>
          <w:p>
            <w:pPr>
              <w:pStyle w:val="Normal"/>
              <w:spacing w:lineRule="auto" w:line="240" w:before="0" w:after="0"/>
              <w:jc w:val="center"/>
              <w:rPr/>
            </w:pPr>
            <w:r>
              <w:rPr/>
              <w:t>1,53 h</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Custo do tempo do mecânico por ano (R$ 14,32/h)</w:t>
            </w:r>
          </w:p>
        </w:tc>
        <w:tc>
          <w:tcPr>
            <w:tcW w:w="1999" w:type="dxa"/>
            <w:tcBorders/>
            <w:vAlign w:val="center"/>
          </w:tcPr>
          <w:p>
            <w:pPr>
              <w:pStyle w:val="Normal"/>
              <w:spacing w:lineRule="auto" w:line="240" w:before="0" w:after="0"/>
              <w:jc w:val="center"/>
              <w:rPr/>
            </w:pPr>
            <w:r>
              <w:rPr/>
              <w:t>R$ 30,41</w:t>
            </w:r>
          </w:p>
        </w:tc>
        <w:tc>
          <w:tcPr>
            <w:tcW w:w="2000" w:type="dxa"/>
            <w:tcBorders/>
            <w:vAlign w:val="center"/>
          </w:tcPr>
          <w:p>
            <w:pPr>
              <w:pStyle w:val="Normal"/>
              <w:spacing w:lineRule="auto" w:line="240" w:before="0" w:after="0"/>
              <w:jc w:val="center"/>
              <w:rPr/>
            </w:pPr>
            <w:r>
              <w:rPr/>
              <w:t>R$ 8,50</w:t>
            </w:r>
          </w:p>
        </w:tc>
        <w:tc>
          <w:tcPr>
            <w:tcW w:w="2001" w:type="dxa"/>
            <w:tcBorders/>
            <w:vAlign w:val="center"/>
          </w:tcPr>
          <w:p>
            <w:pPr>
              <w:pStyle w:val="Normal"/>
              <w:spacing w:lineRule="auto" w:line="240" w:before="0" w:after="0"/>
              <w:jc w:val="center"/>
              <w:rPr/>
            </w:pPr>
            <w:r>
              <w:rPr/>
              <w:t>R$ 21,91</w:t>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Redução do tempo</w:t>
            </w:r>
          </w:p>
        </w:tc>
        <w:tc>
          <w:tcPr>
            <w:tcW w:w="1999" w:type="dxa"/>
            <w:tcBorders>
              <w:top w:val="single" w:sz="4" w:space="0" w:color="000000"/>
            </w:tcBorders>
            <w:vAlign w:val="center"/>
          </w:tcPr>
          <w:p>
            <w:pPr>
              <w:pStyle w:val="Normal"/>
              <w:spacing w:lineRule="auto" w:line="240" w:before="0" w:after="0"/>
              <w:jc w:val="center"/>
              <w:rPr/>
            </w:pPr>
            <w:r>
              <w:rPr/>
              <w:t>–</w:t>
            </w:r>
          </w:p>
        </w:tc>
        <w:tc>
          <w:tcPr>
            <w:tcW w:w="2000" w:type="dxa"/>
            <w:tcBorders>
              <w:top w:val="single" w:sz="4" w:space="0" w:color="000000"/>
            </w:tcBorders>
            <w:vAlign w:val="center"/>
          </w:tcPr>
          <w:p>
            <w:pPr>
              <w:pStyle w:val="Normal"/>
              <w:spacing w:lineRule="auto" w:line="240" w:before="0" w:after="0"/>
              <w:jc w:val="center"/>
              <w:rPr/>
            </w:pPr>
            <w:r>
              <w:rPr/>
              <w:t>–</w:t>
            </w:r>
          </w:p>
        </w:tc>
        <w:tc>
          <w:tcPr>
            <w:tcW w:w="2001" w:type="dxa"/>
            <w:tcBorders>
              <w:top w:val="single" w:sz="4" w:space="0" w:color="000000"/>
            </w:tcBorders>
            <w:vAlign w:val="center"/>
          </w:tcPr>
          <w:p>
            <w:pPr>
              <w:pStyle w:val="Normal"/>
              <w:spacing w:lineRule="auto" w:line="240" w:before="0" w:after="0"/>
              <w:jc w:val="center"/>
              <w:rPr/>
            </w:pPr>
            <w:r>
              <w:rPr/>
              <w:t>72,0 %</w:t>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120"/>
        <w:ind w:left="0" w:right="0" w:firstLine="709"/>
        <w:jc w:val="both"/>
        <w:rPr/>
      </w:pPr>
      <w:r>
        <w:rPr/>
        <w:t>Todos os participantes foram mais rápidos com o QR Code. O tempo médio caiu de 637,1 s (10 min 37 s) no método tradicional para 178,2 s (2 min 58 s) com o QR Code, uma redução de 72,0 %, ou cerca de 7 min 39 s por intervenção. A redução individual variou de 58,6 % a 80,6 %, e os tempos ficaram mais próximos entre si com o QR Code (de 141 a 213 s) do que no método tradicional (de 515 a 726 s), o que indica que a ficha torna a tarefa mais padronizada e menos dependente de quem a executa. Como só o tempo total foi registrado, não é possível dizer em qual etapa houve a maior redução. Aplicado às 12 intervenções anuais, o ganho é de cerca de 1,53 h por ano e por redutor, que, ao custo de R$ 14,32 por hora do mecânico, corresponde a aproximadamente R$ 21,91 por ano (Tabela 3). O custo de implantação também é baixo: a página foi publicada em um serviço de hospedagem gratuito, e no protótipo, a etiqueta não teve custo para a equipe: foi impressa em papel comum, em impressão cedida, e fixada com fita crepe branca. Em uso permanente, recomenda-se plastificá-la ou usar material resistente a óleo e à limpeza, ainda de baixo custo. Assim, o retorno de um único redutor é pequeno em valor, mas positivo, e cresce com o número de equipamentos: para 100 equipamentos, o ganho estimado é de cerca de R$ 2.191 por ano, sem contar o custo da produção parada quando a busca de informações ocorre com o equipamento desligado.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já que os participantes executaram primeiro o método tradicional; o registro apenas do tempo total, sem a separação das etapas;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O trabalho teve como objetivo reduzir o tempo do mecânico na identificação e no registro da lubrificação de um redutor de coroa e rosca sem fim WEG-Cestari, da linha Magma M, por meio de um QR Code fixado no equipamento. Os resultados respondem ao problema de pesquisa: com a ficha acessada pelo QR Code, o tempo médio para identificar o lubrificante, localizar os pontos e registrar a intervenção caiu de 10 min 37 s para 2 min 58 s, uma redução de 72,0 %, e todos os cinco participantes foram mais rápidos com o QR Code. O objetivo foi, portanto, atingido.</w:t>
      </w:r>
    </w:p>
    <w:p>
      <w:pPr>
        <w:pStyle w:val="Normal"/>
        <w:widowControl/>
        <w:spacing w:lineRule="auto" w:line="360" w:before="0" w:after="120"/>
        <w:ind w:left="0" w:right="0" w:firstLine="709"/>
        <w:jc w:val="both"/>
        <w:rPr/>
      </w:pPr>
      <w:r>
        <w:rPr/>
        <w:t>A solução mostrou-se simples de implantar, por utilizar uma página web acessada pelo celular e uma etiqueta de baixo custo, e coerente com os princípios de Gestão Visual e de TPM. Em um único redutor, o ganho estimado é modesto – cerca de 1,53 h e R$ 21,91 por ano no tempo do mecânico –, mas o benefício cresce com o número de equipamentos atendidos. Além do tempo, a ficha padroniza o acesso às informações, reduz o risco de aplicar o óleo errado, gera um histórico de intervenções para o PCM e passou a mostrar a situação da última análise do óleo. Os resultados devem ser lidos considerando que a cronometragem foi feita em ambiente didático, com poucos participantes, que executaram primeiro o método tradicional.</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análise do óleo do próprio redutor em laboratório, com a amostra coletada na troca, já prevista na ficha a partir do ensaio de aprendizagem,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A etiqueta não deve ser colada sobre a placa de identificação do fabricante, sobre o respiro ou os bujões, nem em regiões que esquentam ou recebem respingos de óleo. No redutor estudado, a etiqueta foi fixada na face superior, logo abaixo da etiqueta já existente no equipamento, região lisa e visível para quem se aproxima do redutor; em outros equipamentos, pode-se usar uma plaqueta de alumínio presa junto à fixação, em local de fácil acesso. Na cronometragem, a etiqueta foi impressa em papel comum, sem plastificação, e fixada com fita crepe branca (423). Para uso permanente, recomenda-se plastificar a etiqueta ou usar etiqueta de material resistente a óleo e à limpeza, mantendo o QR Code com correção de erros nível H.</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spacing w:lineRule="auto" w:line="360" w:before="0" w:after="360"/>
        <w:jc w:val="center"/>
        <w:rPr>
          <w:b/>
          <w:b/>
          <w:bCs/>
        </w:rPr>
      </w:pPr>
      <w:bookmarkStart w:id="35" w:name="pag37"/>
      <w:bookmarkEnd w:id="35"/>
      <w:r>
        <w:rPr>
          <w:b/>
          <w:bCs/>
        </w:rPr>
        <w:t>APÊNDICE D – COMPONENTES DO REDUTOR E TAGS</w:t>
      </w:r>
    </w:p>
    <w:p>
      <w:pPr>
        <w:pStyle w:val="Normal"/>
        <w:widowControl/>
        <w:spacing w:lineRule="auto" w:line="360" w:before="0" w:after="120"/>
        <w:ind w:left="0" w:right="0" w:firstLine="709"/>
        <w:jc w:val="both"/>
        <w:rPr/>
      </w:pPr>
      <w:r>
        <w:rPr/>
        <w:t>Sem o manual de peças do fabricante, os componentes do redutor RED-001 foram identificados no modelo tridimensional da ficha digital. A Figura 3 mostra o modelo em vista explodida, com os componentes numerados, e em corte; o Quadro 4 relaciona cada número ao componente e ao seu tag. O tag completo de cada componente é formado pelo tag do equipamento seguido do código da peça, por exemplo RED-001-COR-01.</w:t>
      </w:r>
    </w:p>
    <w:p>
      <w:pPr>
        <w:pStyle w:val="Normal"/>
        <w:keepNext w:val="true"/>
        <w:spacing w:lineRule="auto" w:line="240" w:before="200" w:after="80"/>
        <w:jc w:val="center"/>
        <w:rPr>
          <w:b/>
          <w:b/>
          <w:bCs/>
          <w:sz w:val="20"/>
          <w:szCs w:val="20"/>
        </w:rPr>
      </w:pPr>
      <w:bookmarkStart w:id="36" w:name="pag35"/>
      <w:bookmarkEnd w:id="36"/>
      <w:r>
        <w:rPr>
          <w:b/>
          <w:bCs/>
          <w:sz w:val="20"/>
          <w:szCs w:val="20"/>
        </w:rPr>
        <w:t>Figura 3 – Modelo tridimensional do redutor RED-001: vista explodida com os componentes numerados (à esquerda) e vista em corte, com a carcaça transparente (à direita)</w:t>
      </w:r>
    </w:p>
    <w:p>
      <w:pPr>
        <w:pStyle w:val="Normal"/>
        <w:spacing w:lineRule="auto" w:line="240" w:before="0" w:after="0"/>
        <w:ind w:left="0" w:right="0" w:hanging="0"/>
        <w:jc w:val="center"/>
        <w:rPr/>
      </w:pPr>
      <w:r>
        <w:rPr/>
        <w:drawing>
          <wp:inline distT="0" distB="0" distL="0" distR="0">
            <wp:extent cx="3128645" cy="2447925"/>
            <wp:effectExtent l="0" t="0" r="0" b="0"/>
            <wp:docPr id="7" name="Explodid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plodida" descr=""/>
                    <pic:cNvPicPr>
                      <a:picLocks noChangeAspect="1" noChangeArrowheads="1"/>
                    </pic:cNvPicPr>
                  </pic:nvPicPr>
                  <pic:blipFill>
                    <a:blip r:embed="rId8"/>
                    <a:stretch>
                      <a:fillRect/>
                    </a:stretch>
                  </pic:blipFill>
                  <pic:spPr bwMode="auto">
                    <a:xfrm>
                      <a:off x="0" y="0"/>
                      <a:ext cx="3128645" cy="2447925"/>
                    </a:xfrm>
                    <a:prstGeom prst="rect">
                      <a:avLst/>
                    </a:prstGeom>
                    <a:ln w="6350">
                      <a:solidFill>
                        <a:srgbClr val="808080"/>
                      </a:solidFill>
                    </a:ln>
                  </pic:spPr>
                </pic:pic>
              </a:graphicData>
            </a:graphic>
          </wp:inline>
        </w:drawing>
      </w:r>
      <w:r>
        <w:rPr/>
        <w:t xml:space="preserve">  </w:t>
      </w:r>
      <w:r>
        <w:rPr/>
        <w:drawing>
          <wp:inline distT="0" distB="0" distL="0" distR="0">
            <wp:extent cx="2435225" cy="2447925"/>
            <wp:effectExtent l="0" t="0" r="0" b="0"/>
            <wp:docPr id="8" name="Cor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rte" descr=""/>
                    <pic:cNvPicPr>
                      <a:picLocks noChangeAspect="1" noChangeArrowheads="1"/>
                    </pic:cNvPicPr>
                  </pic:nvPicPr>
                  <pic:blipFill>
                    <a:blip r:embed="rId9"/>
                    <a:stretch>
                      <a:fillRect/>
                    </a:stretch>
                  </pic:blipFill>
                  <pic:spPr bwMode="auto">
                    <a:xfrm>
                      <a:off x="0" y="0"/>
                      <a:ext cx="2435225" cy="24479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keepNext w:val="true"/>
        <w:spacing w:lineRule="auto" w:line="240" w:before="200" w:after="80"/>
        <w:jc w:val="center"/>
        <w:rPr>
          <w:b/>
          <w:b/>
          <w:bCs/>
          <w:sz w:val="20"/>
          <w:szCs w:val="20"/>
        </w:rPr>
      </w:pPr>
      <w:bookmarkStart w:id="37" w:name="pag36"/>
      <w:bookmarkEnd w:id="37"/>
      <w:r>
        <w:rPr>
          <w:b/>
          <w:bCs/>
          <w:sz w:val="20"/>
          <w:szCs w:val="20"/>
        </w:rPr>
        <w:t>Quadro 4 – Componentes do redutor RED-001 e tags</w:t>
      </w:r>
    </w:p>
    <w:tbl>
      <w:tblPr>
        <w:tblW w:w="9071" w:type="dxa"/>
        <w:jc w:val="left"/>
        <w:tblInd w:w="0" w:type="dxa"/>
        <w:tblLayout w:type="fixed"/>
        <w:tblCellMar>
          <w:top w:w="70" w:type="dxa"/>
          <w:left w:w="100" w:type="dxa"/>
          <w:bottom w:w="70" w:type="dxa"/>
          <w:right w:w="100" w:type="dxa"/>
        </w:tblCellMar>
      </w:tblPr>
      <w:tblGrid>
        <w:gridCol w:w="2267"/>
        <w:gridCol w:w="1701"/>
        <w:gridCol w:w="1275"/>
        <w:gridCol w:w="3828"/>
      </w:tblGrid>
      <w:tr>
        <w:trPr>
          <w:tblHeader w:val="true"/>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Nº</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Componente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Tag</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Material e função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Carcaça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Ferro fundido pintado; aloja os eixos e guarda o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de identificação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PLC-01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metálica rebitada; identifica série, código, redução e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Respiro (enchimento)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RSP-01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Latão; alivia a pressão interna e serve de furo de enchimento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nível</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NIV-01, NIV-02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o NIV-02 (do meio) indica o nível na posição adotada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dreno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DRE-01, DRE-02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escoamento do óleo na troca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Bronze com cubo de aço; engrenagem movida da redução 1:25</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7</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Chaveta da 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CHV-01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trava a coroa no eixo de saída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8</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Eixo de saída vazado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entrega o movimento reduzido (70 rpm) à máquina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9</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do eixo de saída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ROL-01, ROL-02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o eixo de saída dos dois lados da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10</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 eixo de entrada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RSF-01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recebe o giro do motor (1.750 rpm) e aciona 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da rosca sem fim</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ROL-03, ROL-04</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a rosca e o esforço axial</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RET-01 a RET-03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Borracha nitrílica com armação de aço; vedam a passagem dos eixos</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TMP-01 a TMP-03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 do eixo de saída, tampa cega da rosca e tampa central da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Parafusos das 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PAR-01 a PAR-10</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fixam as tampas (6 na tampa do eixo de saída e 4 na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Etiqueta com QR Code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QR-01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Papel comum fixado com fita crepe (protótipo); abre a ficha digital do redutor</w:t>
            </w:r>
          </w:p>
        </w:tc>
      </w:tr>
    </w:tbl>
    <w:p>
      <w:pPr>
        <w:pStyle w:val="Normal"/>
        <w:spacing w:lineRule="auto" w:line="240" w:before="60" w:after="200"/>
        <w:jc w:val="center"/>
        <w:rPr>
          <w:sz w:val="20"/>
          <w:szCs w:val="20"/>
        </w:rPr>
      </w:pPr>
      <w:r>
        <w:rPr>
          <w:sz w:val="20"/>
          <w:szCs w:val="20"/>
        </w:rPr>
        <w:t>Fonte: Elaborado pelos autores (2026). Numeração igual à da Figura 3. Componentes internos (6 a 12) ilustrativos, a confirmar na desmontagem.</w:t>
      </w:r>
    </w:p>
    <w:sectPr>
      <w:headerReference w:type="default" r:id="rId10"/>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3">
          <wp:simplePos x="0" y="0"/>
          <wp:positionH relativeFrom="page">
            <wp:posOffset>0</wp:posOffset>
          </wp:positionH>
          <wp:positionV relativeFrom="page">
            <wp:posOffset>0</wp:posOffset>
          </wp:positionV>
          <wp:extent cx="7560310" cy="10692130"/>
          <wp:effectExtent l="0" t="0" r="0" b="0"/>
          <wp:wrapNone/>
          <wp:docPr id="9"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