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32</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25</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31</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32</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 xml:space="preserve">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w:t>
      </w:r>
      <w:r>
        <w:rPr>
          <w:shd w:fill="FFFF00" w:val="clear"/>
        </w:rPr>
        <w:t>[descrever a aplicação adotada, por exemplo, o acionamento de uma pequena esteira transportadora]</w:t>
      </w:r>
      <w:r>
        <w:rPr/>
        <w:t>.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e largura da carcaça de 116 mm (medidas pela equipe com paquímetro); massa: </w:t>
            </w:r>
            <w:r>
              <w:rPr>
                <w:b w:val="false"/>
                <w:bCs w:val="false"/>
                <w:sz w:val="20"/>
                <w:szCs w:val="20"/>
                <w:shd w:fill="FFFF00" w:val="clear"/>
              </w:rPr>
              <w:t>[pesar o redutor]</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Para a linha Magma M, o fabricante informa um único volume de óleo por tamanho, válido para todas as posições de trabalho: 0,87 L no tamanho 06 de um estágio.</w:t>
      </w:r>
      <w:r>
        <w:rPr>
          <w:vertAlign w:val="superscript"/>
        </w:rPr>
        <w:t>6</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RED-001-OLE-04; galão identificado pela cor laranja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 xml:space="preserve">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12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32</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