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0"/>
        </w:rPr>
        <w:t>NeuroScan CDS: An Explainable Dual-Branch Spatial-Texture Deep Learning Architecture with 3D Multi-Planar Reconstruction for Multiclass Brain Tumor Clinical Decision Support</w:t>
      </w:r>
    </w:p>
    <w:p>
      <w:pPr>
        <w:spacing w:after="40"/>
        <w:jc w:val="center"/>
      </w:pPr>
      <w:r>
        <w:rPr>
          <w:rFonts w:ascii="Times New Roman" w:hAnsi="Times New Roman"/>
          <w:b/>
          <w:sz w:val="22"/>
        </w:rPr>
        <w:t>Vengababu B., Student Member, IEEE</w:t>
      </w:r>
    </w:p>
    <w:p>
      <w:pPr>
        <w:spacing w:after="200"/>
        <w:jc w:val="center"/>
      </w:pPr>
      <w:r>
        <w:rPr>
          <w:rFonts w:ascii="Times New Roman" w:hAnsi="Times New Roman"/>
          <w:i/>
          <w:sz w:val="18"/>
        </w:rPr>
        <w:t>Department of Computer Science and Engineering</w:t>
        <w:br/>
        <w:t>Project Repository: https://github.com/vengababu-X/-HOG-Tumor • Workstation: https://neuroscan-cds.vercel.app</w:t>
      </w:r>
    </w:p>
    <w:p>
      <w:pPr>
        <w:spacing w:after="80"/>
        <w:jc w:val="both"/>
      </w:pPr>
      <w:r>
        <w:rPr>
          <w:rFonts w:ascii="Times New Roman" w:hAnsi="Times New Roman"/>
          <w:b/>
          <w:i/>
          <w:sz w:val="18"/>
        </w:rPr>
        <w:t>Abstract—</w:t>
      </w:r>
      <w:r>
        <w:rPr>
          <w:rFonts w:ascii="Times New Roman" w:hAnsi="Times New Roman"/>
          <w:b/>
          <w:i/>
          <w:sz w:val="18"/>
        </w:rPr>
        <w:t>Accurate classification of intracranial neoplasms from Magnetic Resonance Imaging (MRI) is critical for pre-operative trajectory planning and emergency triage. However, contemporary deep learning models suffer from four translation bottlenecks: unverified train-test duplicate leakage, over-reliance on deep contrast shapes that discard subcortical texture gradients, catastrophic hallucination on out-of-distribution (OOD) corrupted inputs, and an absence of 3D multi-planar context. We propose NeuroScan CDS, an explainable dual-branch decision support system unifying deep residual attention with deterministic texture analysis. The architecture couples a ResNet-50 backbone augmented with a Convolutional Block Attention Module (CBAM) at layer 4 (256-d embedding) with handcrafted Histogram of Oriented Gradients compressed via Principal Component Analysis (HOG-PCA, 512-d embedding), fused into a 768-d hybrid manifold optimized via multi-class Focal Loss (γ = 2.0). Evaluated on an exactly balanced held-out benchmark (N = 1,600 scans across Glioma, Meningioma, Pituitary, and No_Tumor), the model achieves 95.50% overall accuracy, 0.9547 macro F1, and 0.9919 macro One-vs-Rest AUC. A forensic pixel-hash audit proves 114 test images (7.12%) in the public benchmark are byte-identical duplicates of training slices; on the strictly leak-free partition (N = 1,486 unique patients), NeuroScan CDS retains 95.42% accuracy and 0.9518 macro F1. The system integrates a real-time Tri-Planar 3D Multi-Planar Reconstruction (MPR) engine across Axial, Coronal, and Sagittal planes, a Normalized Shannon Entropy guard (H_norm ≤ 0.70), and automated neurosurgical planning metrics.</w:t>
      </w:r>
    </w:p>
    <w:p>
      <w:pPr>
        <w:spacing w:after="280"/>
      </w:pPr>
      <w:r>
        <w:rPr>
          <w:rFonts w:ascii="Times New Roman" w:hAnsi="Times New Roman"/>
          <w:b/>
          <w:i/>
          <w:sz w:val="18"/>
        </w:rPr>
        <w:t>Index Terms—</w:t>
      </w:r>
      <w:r>
        <w:rPr>
          <w:rFonts w:ascii="Times New Roman" w:hAnsi="Times New Roman"/>
          <w:b/>
          <w:i/>
          <w:sz w:val="18"/>
        </w:rPr>
        <w:t>Brain Tumor Classification, Clinical Decision Support (CDS), CBAM, HOG-PCA, OOD Entropy Guard, 3D MPR, Focal Loss.</w:t>
      </w:r>
    </w:p>
    <w:p>
      <w:pPr>
        <w:sectPr>
          <w:pgSz w:w="12240" w:h="15840"/>
          <w:pgMar w:top="1080" w:right="893" w:bottom="1440" w:left="893" w:header="720" w:footer="720" w:gutter="0"/>
          <w:cols w:space="720"/>
          <w:docGrid w:linePitch="360"/>
        </w:sectPr>
      </w:pPr>
    </w:p>
    <w:p>
      <w:pPr>
        <w:keepNext/>
        <w:spacing w:before="160" w:after="40"/>
      </w:pPr>
      <w:r>
        <w:rPr>
          <w:rFonts w:ascii="Times New Roman" w:hAnsi="Times New Roman"/>
          <w:b/>
          <w:sz w:val="20"/>
        </w:rPr>
        <w:t>I. INTRODUCTION</w:t>
      </w:r>
    </w:p>
    <w:p>
      <w:pPr>
        <w:spacing w:after="80" w:line="252" w:lineRule="auto"/>
        <w:jc w:val="both"/>
      </w:pPr>
      <w:r>
        <w:rPr>
          <w:rFonts w:ascii="Times New Roman" w:hAnsi="Times New Roman"/>
          <w:sz w:val="19"/>
        </w:rPr>
        <w:t>Primary neoplasms of the central nervous system (CNS)—including diffuse gliomas, extra-axial meningiomas, and sellar pituitary neuroendocrine tumors (PitNETs)—present urgent diagnostic challenges demanding rapid, objective radiological characterization [1]. Magnetic Resonance Imaging (MRI) serves as the premier non-invasive modality for pre-operative surgical planning and therapeutic surveillance [2]. Multi-parametric acquisitions, notably T1-weighted contrast-enhanced (T1+C), T2-weighted, and FLAIR, elucidate lesion morphology and vasogenic edema.</w:t>
      </w:r>
    </w:p>
    <w:p>
      <w:pPr>
        <w:spacing w:after="80" w:line="252" w:lineRule="auto"/>
        <w:jc w:val="both"/>
      </w:pPr>
      <w:r>
        <w:rPr>
          <w:rFonts w:ascii="Times New Roman" w:hAnsi="Times New Roman"/>
          <w:sz w:val="19"/>
        </w:rPr>
        <w:t>Despite modern imaging hardware, neurosurgical translation of computer vision remains impeded by four critical bottlenecks:</w:t>
        <w:br/>
        <w:t>1) Unverified Data Leakage: Public datasets distribute loose 2D slices without patient identifiers. Slices from the same patient cross-contaminate train and test splits, causing networks to memorize patient cranial geometry [9].</w:t>
        <w:br/>
        <w:t>2) Texture-Spatial Disconnect: Deep CNNs discard fine subcortical texture gradients [3], while pure Vision Transformers suffer from severe data-hungriness and overfit heavily on small medical cohorts.</w:t>
        <w:br/>
        <w:t>3) Closed-World Hallucination: Standard multi-class classifiers enforce a closed-world softmax constraint, forcing an out-of-distribution (OOD) corrupted scan to be classified into fixed categories with high artificial confidence [8].</w:t>
        <w:br/>
        <w:t>4) Absence of 3D Volumetric Context: Operating neurosurgeons require multi-planar coordinates (Axial, Coronal, Sagittal) and mass effect metrics (midline shift), which 2D classifiers fail to deliver.</w:t>
      </w:r>
    </w:p>
    <w:p>
      <w:pPr>
        <w:spacing w:after="80" w:line="252" w:lineRule="auto"/>
        <w:jc w:val="both"/>
      </w:pPr>
      <w:r>
        <w:rPr>
          <w:rFonts w:ascii="Times New Roman" w:hAnsi="Times New Roman"/>
          <w:sz w:val="19"/>
        </w:rPr>
        <w:t>Definitive grading under the 2021 WHO Classification of Tumors of the CNS (5th Edition) strictly mandates tissue biopsy and molecular profiling (IDH1/2 mutation and 1p/19q codeletion) [1]. Consequently, imaging AI must operate as transparent Clinical Decision Support (CDS) rather than autonomous diagnostic authorities [10]. To bridge this chasm, we introduce NeuroScan CDS.</w:t>
      </w:r>
    </w:p>
    <w:p>
      <w:pPr>
        <w:keepNext/>
        <w:spacing w:before="160" w:after="40"/>
      </w:pPr>
      <w:r>
        <w:rPr>
          <w:rFonts w:ascii="Times New Roman" w:hAnsi="Times New Roman"/>
          <w:b/>
          <w:sz w:val="20"/>
        </w:rPr>
        <w:t>II. RELATED WORK &amp; THEORETICAL FOUNDATION</w:t>
      </w:r>
    </w:p>
    <w:p>
      <w:pPr>
        <w:spacing w:after="80" w:line="252" w:lineRule="auto"/>
        <w:jc w:val="both"/>
      </w:pPr>
      <w:r>
        <w:rPr>
          <w:rFonts w:ascii="Times New Roman" w:hAnsi="Times New Roman"/>
          <w:sz w:val="19"/>
        </w:rPr>
        <w:t>Automated neuro-oncology diagnosis has transitioned from handcrafted pattern recognition to deep residual networks [3]. However, standard convolutions apply uniform channel weighting. The Convolutional Block Attention Module (CBAM) resolves this by sequentially computing channel attention (isolating 'what' semantic patterns matter) and spatial attention (pinpointing 'where' lesions reside) [4]. In cranial MRI, where tumors occupy a small fraction of the intracranial volume, CBAM effectively suppresses calvarial artifacts.</w:t>
      </w:r>
    </w:p>
    <w:p>
      <w:pPr>
        <w:spacing w:after="80" w:line="252" w:lineRule="auto"/>
        <w:jc w:val="both"/>
      </w:pPr>
      <w:r>
        <w:rPr>
          <w:rFonts w:ascii="Times New Roman" w:hAnsi="Times New Roman"/>
          <w:sz w:val="19"/>
        </w:rPr>
        <w:t>Concurrently, handcrafted descriptors like Histogram of Oriented Gradients (HOG) capture deterministic edge distributions invariant to illumination shifts [5]. When compressed via Principal Component Analysis (PCA), HOG descriptors inject fine-grained subcortical texture features that directly complement deep residual embeddings. In explainability, Grad-CAM++ derives higher-order gradients to map visual saliency [7]. However, feature maps at layer 4 measure only 5×5 spatial cells for a 144×144 input, meaning Grad-CAM++ delivers coarse regional localization rather than boundary segmentation.</w:t>
      </w:r>
    </w:p>
    <w:p>
      <w:pPr>
        <w:keepNext/>
        <w:spacing w:before="160" w:after="40"/>
      </w:pPr>
      <w:r>
        <w:rPr>
          <w:rFonts w:ascii="Times New Roman" w:hAnsi="Times New Roman"/>
          <w:b/>
          <w:sz w:val="20"/>
        </w:rPr>
        <w:t>III. PROPOSED METHODOLOGY: NEUROSCAN CDS</w:t>
      </w:r>
    </w:p>
    <w:p>
      <w:pPr>
        <w:spacing w:after="80" w:line="252" w:lineRule="auto"/>
        <w:jc w:val="both"/>
      </w:pPr>
      <w:r>
        <w:rPr>
          <w:rFonts w:ascii="Times New Roman" w:hAnsi="Times New Roman"/>
          <w:sz w:val="19"/>
        </w:rPr>
        <w:t>A. Dynamic Contrast Windowing:</w:t>
      </w:r>
    </w:p>
    <w:p>
      <w:pPr>
        <w:keepNext/>
        <w:spacing w:before="40" w:after="40"/>
        <w:jc w:val="center"/>
      </w:pPr>
      <w:r>
        <w:drawing>
          <wp:inline xmlns:a="http://schemas.openxmlformats.org/drawingml/2006/main" xmlns:pic="http://schemas.openxmlformats.org/drawingml/2006/picture">
            <wp:extent cx="3017520" cy="348734"/>
            <wp:docPr id="1" name="Picture 1"/>
            <wp:cNvGraphicFramePr>
              <a:graphicFrameLocks noChangeAspect="1"/>
            </wp:cNvGraphicFramePr>
            <a:graphic>
              <a:graphicData uri="http://schemas.openxmlformats.org/drawingml/2006/picture">
                <pic:pic>
                  <pic:nvPicPr>
                    <pic:cNvPr id="0" name="eq1_norm.png"/>
                    <pic:cNvPicPr/>
                  </pic:nvPicPr>
                  <pic:blipFill>
                    <a:blip r:embed="rId9"/>
                    <a:stretch>
                      <a:fillRect/>
                    </a:stretch>
                  </pic:blipFill>
                  <pic:spPr>
                    <a:xfrm>
                      <a:off x="0" y="0"/>
                      <a:ext cx="3017520" cy="348734"/>
                    </a:xfrm>
                    <a:prstGeom prst="rect"/>
                  </pic:spPr>
                </pic:pic>
              </a:graphicData>
            </a:graphic>
          </wp:inline>
        </w:drawing>
      </w:r>
    </w:p>
    <w:p>
      <w:pPr>
        <w:spacing w:after="80" w:line="252" w:lineRule="auto"/>
        <w:jc w:val="both"/>
      </w:pPr>
      <w:r>
        <w:rPr>
          <w:rFonts w:ascii="Times New Roman" w:hAnsi="Times New Roman"/>
          <w:sz w:val="19"/>
        </w:rPr>
        <w:t>B. Spatial Attention Branch (ResNet-50 + CBAM):</w:t>
      </w:r>
    </w:p>
    <w:p>
      <w:pPr>
        <w:keepNext/>
        <w:spacing w:before="40" w:after="40"/>
        <w:jc w:val="center"/>
      </w:pPr>
      <w:r>
        <w:drawing>
          <wp:inline xmlns:a="http://schemas.openxmlformats.org/drawingml/2006/main" xmlns:pic="http://schemas.openxmlformats.org/drawingml/2006/picture">
            <wp:extent cx="3017520" cy="345828"/>
            <wp:docPr id="2" name="Picture 2"/>
            <wp:cNvGraphicFramePr>
              <a:graphicFrameLocks noChangeAspect="1"/>
            </wp:cNvGraphicFramePr>
            <a:graphic>
              <a:graphicData uri="http://schemas.openxmlformats.org/drawingml/2006/picture">
                <pic:pic>
                  <pic:nvPicPr>
                    <pic:cNvPr id="0" name="eq2_cbam_channel.png"/>
                    <pic:cNvPicPr/>
                  </pic:nvPicPr>
                  <pic:blipFill>
                    <a:blip r:embed="rId10"/>
                    <a:stretch>
                      <a:fillRect/>
                    </a:stretch>
                  </pic:blipFill>
                  <pic:spPr>
                    <a:xfrm>
                      <a:off x="0" y="0"/>
                      <a:ext cx="3017520" cy="345828"/>
                    </a:xfrm>
                    <a:prstGeom prst="rect"/>
                  </pic:spPr>
                </pic:pic>
              </a:graphicData>
            </a:graphic>
          </wp:inline>
        </w:drawing>
      </w:r>
    </w:p>
    <w:p>
      <w:pPr>
        <w:keepNext/>
        <w:spacing w:before="40" w:after="40"/>
        <w:jc w:val="center"/>
      </w:pPr>
      <w:r>
        <w:drawing>
          <wp:inline xmlns:a="http://schemas.openxmlformats.org/drawingml/2006/main" xmlns:pic="http://schemas.openxmlformats.org/drawingml/2006/picture">
            <wp:extent cx="3017520" cy="370530"/>
            <wp:docPr id="3" name="Picture 3"/>
            <wp:cNvGraphicFramePr>
              <a:graphicFrameLocks noChangeAspect="1"/>
            </wp:cNvGraphicFramePr>
            <a:graphic>
              <a:graphicData uri="http://schemas.openxmlformats.org/drawingml/2006/picture">
                <pic:pic>
                  <pic:nvPicPr>
                    <pic:cNvPr id="0" name="eq3_cbam_spatial.png"/>
                    <pic:cNvPicPr/>
                  </pic:nvPicPr>
                  <pic:blipFill>
                    <a:blip r:embed="rId11"/>
                    <a:stretch>
                      <a:fillRect/>
                    </a:stretch>
                  </pic:blipFill>
                  <pic:spPr>
                    <a:xfrm>
                      <a:off x="0" y="0"/>
                      <a:ext cx="3017520" cy="370530"/>
                    </a:xfrm>
                    <a:prstGeom prst="rect"/>
                  </pic:spPr>
                </pic:pic>
              </a:graphicData>
            </a:graphic>
          </wp:inline>
        </w:drawing>
      </w:r>
    </w:p>
    <w:p>
      <w:pPr>
        <w:spacing w:after="80" w:line="252" w:lineRule="auto"/>
        <w:jc w:val="both"/>
      </w:pPr>
      <w:r>
        <w:rPr>
          <w:rFonts w:ascii="Times New Roman" w:hAnsi="Times New Roman"/>
          <w:sz w:val="19"/>
        </w:rPr>
        <w:t>C. Handcrafted Texture Branch (HOG-PCA):</w:t>
      </w:r>
    </w:p>
    <w:p>
      <w:pPr>
        <w:keepNext/>
        <w:spacing w:before="40" w:after="40"/>
        <w:jc w:val="center"/>
      </w:pPr>
      <w:r>
        <w:drawing>
          <wp:inline xmlns:a="http://schemas.openxmlformats.org/drawingml/2006/main" xmlns:pic="http://schemas.openxmlformats.org/drawingml/2006/picture">
            <wp:extent cx="3017520" cy="384874"/>
            <wp:docPr id="4" name="Picture 4"/>
            <wp:cNvGraphicFramePr>
              <a:graphicFrameLocks noChangeAspect="1"/>
            </wp:cNvGraphicFramePr>
            <a:graphic>
              <a:graphicData uri="http://schemas.openxmlformats.org/drawingml/2006/picture">
                <pic:pic>
                  <pic:nvPicPr>
                    <pic:cNvPr id="0" name="eq4_pca.png"/>
                    <pic:cNvPicPr/>
                  </pic:nvPicPr>
                  <pic:blipFill>
                    <a:blip r:embed="rId12"/>
                    <a:stretch>
                      <a:fillRect/>
                    </a:stretch>
                  </pic:blipFill>
                  <pic:spPr>
                    <a:xfrm>
                      <a:off x="0" y="0"/>
                      <a:ext cx="3017520" cy="384874"/>
                    </a:xfrm>
                    <a:prstGeom prst="rect"/>
                  </pic:spPr>
                </pic:pic>
              </a:graphicData>
            </a:graphic>
          </wp:inline>
        </w:drawing>
      </w:r>
    </w:p>
    <w:p>
      <w:pPr>
        <w:spacing w:after="80" w:line="252" w:lineRule="auto"/>
        <w:jc w:val="both"/>
      </w:pPr>
      <w:r>
        <w:rPr>
          <w:rFonts w:ascii="Times New Roman" w:hAnsi="Times New Roman"/>
          <w:sz w:val="19"/>
        </w:rPr>
        <w:t>D. Multi-Class Focal Loss Optimization:</w:t>
      </w:r>
    </w:p>
    <w:p>
      <w:pPr>
        <w:keepNext/>
        <w:spacing w:before="40" w:after="40"/>
        <w:jc w:val="center"/>
      </w:pPr>
      <w:r>
        <w:drawing>
          <wp:inline xmlns:a="http://schemas.openxmlformats.org/drawingml/2006/main" xmlns:pic="http://schemas.openxmlformats.org/drawingml/2006/picture">
            <wp:extent cx="3017520" cy="385061"/>
            <wp:docPr id="5" name="Picture 5"/>
            <wp:cNvGraphicFramePr>
              <a:graphicFrameLocks noChangeAspect="1"/>
            </wp:cNvGraphicFramePr>
            <a:graphic>
              <a:graphicData uri="http://schemas.openxmlformats.org/drawingml/2006/picture">
                <pic:pic>
                  <pic:nvPicPr>
                    <pic:cNvPr id="0" name="eq5_focal.png"/>
                    <pic:cNvPicPr/>
                  </pic:nvPicPr>
                  <pic:blipFill>
                    <a:blip r:embed="rId13"/>
                    <a:stretch>
                      <a:fillRect/>
                    </a:stretch>
                  </pic:blipFill>
                  <pic:spPr>
                    <a:xfrm>
                      <a:off x="0" y="0"/>
                      <a:ext cx="3017520" cy="385061"/>
                    </a:xfrm>
                    <a:prstGeom prst="rect"/>
                  </pic:spPr>
                </pic:pic>
              </a:graphicData>
            </a:graphic>
          </wp:inline>
        </w:drawing>
      </w:r>
    </w:p>
    <w:p>
      <w:pPr>
        <w:spacing w:after="80" w:line="252" w:lineRule="auto"/>
        <w:jc w:val="both"/>
      </w:pPr>
      <w:r>
        <w:rPr>
          <w:rFonts w:ascii="Times New Roman" w:hAnsi="Times New Roman"/>
          <w:sz w:val="19"/>
        </w:rPr>
        <w:t>E. Pre-Inference QA &amp; OOD Entropy Guard:</w:t>
      </w:r>
    </w:p>
    <w:p>
      <w:pPr>
        <w:keepNext/>
        <w:spacing w:before="40" w:after="40"/>
        <w:jc w:val="center"/>
      </w:pPr>
      <w:r>
        <w:drawing>
          <wp:inline xmlns:a="http://schemas.openxmlformats.org/drawingml/2006/main" xmlns:pic="http://schemas.openxmlformats.org/drawingml/2006/picture">
            <wp:extent cx="3017520" cy="408929"/>
            <wp:docPr id="6" name="Picture 6"/>
            <wp:cNvGraphicFramePr>
              <a:graphicFrameLocks noChangeAspect="1"/>
            </wp:cNvGraphicFramePr>
            <a:graphic>
              <a:graphicData uri="http://schemas.openxmlformats.org/drawingml/2006/picture">
                <pic:pic>
                  <pic:nvPicPr>
                    <pic:cNvPr id="0" name="eq6_entropy.png"/>
                    <pic:cNvPicPr/>
                  </pic:nvPicPr>
                  <pic:blipFill>
                    <a:blip r:embed="rId14"/>
                    <a:stretch>
                      <a:fillRect/>
                    </a:stretch>
                  </pic:blipFill>
                  <pic:spPr>
                    <a:xfrm>
                      <a:off x="0" y="0"/>
                      <a:ext cx="3017520" cy="408929"/>
                    </a:xfrm>
                    <a:prstGeom prst="rect"/>
                  </pic:spPr>
                </pic:pic>
              </a:graphicData>
            </a:graphic>
          </wp:inline>
        </w:drawing>
      </w:r>
    </w:p>
    <w:p>
      <w:pPr>
        <w:jc w:val="center"/>
      </w:pPr>
      <w:r>
        <w:drawing>
          <wp:inline xmlns:a="http://schemas.openxmlformats.org/drawingml/2006/main" xmlns:pic="http://schemas.openxmlformats.org/drawingml/2006/picture">
            <wp:extent cx="3017520" cy="1545021"/>
            <wp:docPr id="7" name="Picture 7"/>
            <wp:cNvGraphicFramePr>
              <a:graphicFrameLocks noChangeAspect="1"/>
            </wp:cNvGraphicFramePr>
            <a:graphic>
              <a:graphicData uri="http://schemas.openxmlformats.org/drawingml/2006/picture">
                <pic:pic>
                  <pic:nvPicPr>
                    <pic:cNvPr id="0" name="fig1_architecture.png"/>
                    <pic:cNvPicPr/>
                  </pic:nvPicPr>
                  <pic:blipFill>
                    <a:blip r:embed="rId15"/>
                    <a:stretch>
                      <a:fillRect/>
                    </a:stretch>
                  </pic:blipFill>
                  <pic:spPr>
                    <a:xfrm>
                      <a:off x="0" y="0"/>
                      <a:ext cx="3017520" cy="1545021"/>
                    </a:xfrm>
                    <a:prstGeom prst="rect"/>
                  </pic:spPr>
                </pic:pic>
              </a:graphicData>
            </a:graphic>
          </wp:inline>
        </w:drawing>
      </w:r>
    </w:p>
    <w:p>
      <w:pPr>
        <w:spacing w:after="100"/>
        <w:jc w:val="center"/>
      </w:pPr>
      <w:r>
        <w:rPr>
          <w:rFonts w:ascii="Times New Roman" w:hAnsi="Times New Roman"/>
          <w:i/>
          <w:sz w:val="16"/>
        </w:rPr>
        <w:t>Fig. 1. Dual-branch architecture combining ResNet-50 + CBAM (256-d) with HOG-PCA (512-d).</w:t>
      </w:r>
    </w:p>
    <w:p>
      <w:pPr>
        <w:keepNext/>
        <w:spacing w:before="160" w:after="40"/>
      </w:pPr>
      <w:r>
        <w:rPr>
          <w:rFonts w:ascii="Times New Roman" w:hAnsi="Times New Roman"/>
          <w:b/>
          <w:sz w:val="20"/>
        </w:rPr>
        <w:t>IV. EXPERIMENTAL SETUP &amp; PERFORMANCE EVALUATION</w:t>
      </w:r>
    </w:p>
    <w:p>
      <w:pPr>
        <w:spacing w:after="80" w:line="252" w:lineRule="auto"/>
        <w:jc w:val="both"/>
      </w:pPr>
      <w:r>
        <w:rPr>
          <w:rFonts w:ascii="Times New Roman" w:hAnsi="Times New Roman"/>
          <w:sz w:val="19"/>
        </w:rPr>
        <w:t>The model was evaluated on N = 7,023 cranial MRI scans (Training: 5,423; Held-out Testing: 1,600). The test cohort comprises an exactly balanced distribution of 400 cases per class: Glioma, Meningioma, No_Tumor, and Pituitary. Execution used an NVIDIA RTX 3050 GPU (6.0 GB VRAM, CUDA 12.1) running PyTorch 2.5.1 with Automatic Mixed Precision (AMP fp16).</w:t>
      </w:r>
    </w:p>
    <w:p>
      <w:pPr>
        <w:keepNext/>
        <w:jc w:val="center"/>
      </w:pPr>
      <w:r>
        <w:rPr>
          <w:rFonts w:ascii="Times New Roman" w:hAnsi="Times New Roman"/>
          <w:b/>
          <w:sz w:val="17"/>
        </w:rPr>
        <w:t>TABLE I. HELD-OUT PER-CLASS DIAGNOSTIC PERFORMANCE (N = 1,600)</w:t>
      </w:r>
    </w:p>
    <w:tbl>
      <w:tblPr>
        <w:tblW w:type="auto" w:w="0"/>
        <w:jc w:val="center"/>
        <w:tblLook w:firstColumn="1" w:firstRow="1" w:lastColumn="0" w:lastRow="0" w:noHBand="0" w:noVBand="1" w:val="04A0"/>
      </w:tblPr>
      <w:tblGrid>
        <w:gridCol w:w="1742"/>
        <w:gridCol w:w="1742"/>
        <w:gridCol w:w="1742"/>
        <w:gridCol w:w="1742"/>
        <w:gridCol w:w="1742"/>
        <w:gridCol w:w="1742"/>
      </w:tblGrid>
      <w:tr>
        <w:tc>
          <w:tcPr>
            <w:tcW w:type="dxa" w:w="1742"/>
          </w:tcPr>
          <w:p>
            <w:r>
              <w:rPr>
                <w:b/>
                <w:sz w:val="16"/>
              </w:rPr>
              <w:t>Class</w:t>
            </w:r>
          </w:p>
        </w:tc>
        <w:tc>
          <w:tcPr>
            <w:tcW w:type="dxa" w:w="1742"/>
          </w:tcPr>
          <w:p>
            <w:r>
              <w:rPr>
                <w:b/>
                <w:sz w:val="16"/>
              </w:rPr>
              <w:t>Support</w:t>
            </w:r>
          </w:p>
        </w:tc>
        <w:tc>
          <w:tcPr>
            <w:tcW w:type="dxa" w:w="1742"/>
          </w:tcPr>
          <w:p>
            <w:r>
              <w:rPr>
                <w:b/>
                <w:sz w:val="16"/>
              </w:rPr>
              <w:t>Prec.</w:t>
            </w:r>
          </w:p>
        </w:tc>
        <w:tc>
          <w:tcPr>
            <w:tcW w:type="dxa" w:w="1742"/>
          </w:tcPr>
          <w:p>
            <w:r>
              <w:rPr>
                <w:b/>
                <w:sz w:val="16"/>
              </w:rPr>
              <w:t>Recall</w:t>
            </w:r>
          </w:p>
        </w:tc>
        <w:tc>
          <w:tcPr>
            <w:tcW w:type="dxa" w:w="1742"/>
          </w:tcPr>
          <w:p>
            <w:r>
              <w:rPr>
                <w:b/>
                <w:sz w:val="16"/>
              </w:rPr>
              <w:t>F1</w:t>
            </w:r>
          </w:p>
        </w:tc>
        <w:tc>
          <w:tcPr>
            <w:tcW w:type="dxa" w:w="1742"/>
          </w:tcPr>
          <w:p>
            <w:r>
              <w:rPr>
                <w:b/>
                <w:sz w:val="16"/>
              </w:rPr>
              <w:t>AUC</w:t>
            </w:r>
          </w:p>
        </w:tc>
      </w:tr>
      <w:tr>
        <w:tc>
          <w:tcPr>
            <w:tcW w:type="dxa" w:w="1742"/>
          </w:tcPr>
          <w:p>
            <w:r>
              <w:rPr>
                <w:sz w:val="15"/>
              </w:rPr>
              <w:t>Glioma</w:t>
            </w:r>
          </w:p>
        </w:tc>
        <w:tc>
          <w:tcPr>
            <w:tcW w:type="dxa" w:w="1742"/>
          </w:tcPr>
          <w:p>
            <w:r>
              <w:rPr>
                <w:sz w:val="15"/>
              </w:rPr>
              <w:t>400</w:t>
            </w:r>
          </w:p>
        </w:tc>
        <w:tc>
          <w:tcPr>
            <w:tcW w:type="dxa" w:w="1742"/>
          </w:tcPr>
          <w:p>
            <w:r>
              <w:rPr>
                <w:sz w:val="15"/>
              </w:rPr>
              <w:t>0.9831</w:t>
            </w:r>
          </w:p>
        </w:tc>
        <w:tc>
          <w:tcPr>
            <w:tcW w:type="dxa" w:w="1742"/>
          </w:tcPr>
          <w:p>
            <w:r>
              <w:rPr>
                <w:sz w:val="15"/>
              </w:rPr>
              <w:t>0.8750</w:t>
            </w:r>
          </w:p>
        </w:tc>
        <w:tc>
          <w:tcPr>
            <w:tcW w:type="dxa" w:w="1742"/>
          </w:tcPr>
          <w:p>
            <w:r>
              <w:rPr>
                <w:sz w:val="15"/>
              </w:rPr>
              <w:t>0.9259</w:t>
            </w:r>
          </w:p>
        </w:tc>
        <w:tc>
          <w:tcPr>
            <w:tcW w:type="dxa" w:w="1742"/>
          </w:tcPr>
          <w:p>
            <w:r>
              <w:rPr>
                <w:sz w:val="15"/>
              </w:rPr>
              <w:t>0.9786</w:t>
            </w:r>
          </w:p>
        </w:tc>
      </w:tr>
      <w:tr>
        <w:tc>
          <w:tcPr>
            <w:tcW w:type="dxa" w:w="1742"/>
          </w:tcPr>
          <w:p>
            <w:r>
              <w:rPr>
                <w:sz w:val="15"/>
              </w:rPr>
              <w:t>Meningioma</w:t>
            </w:r>
          </w:p>
        </w:tc>
        <w:tc>
          <w:tcPr>
            <w:tcW w:type="dxa" w:w="1742"/>
          </w:tcPr>
          <w:p>
            <w:r>
              <w:rPr>
                <w:sz w:val="15"/>
              </w:rPr>
              <w:t>400</w:t>
            </w:r>
          </w:p>
        </w:tc>
        <w:tc>
          <w:tcPr>
            <w:tcW w:type="dxa" w:w="1742"/>
          </w:tcPr>
          <w:p>
            <w:r>
              <w:rPr>
                <w:sz w:val="15"/>
              </w:rPr>
              <w:t>0.8998</w:t>
            </w:r>
          </w:p>
        </w:tc>
        <w:tc>
          <w:tcPr>
            <w:tcW w:type="dxa" w:w="1742"/>
          </w:tcPr>
          <w:p>
            <w:r>
              <w:rPr>
                <w:sz w:val="15"/>
              </w:rPr>
              <w:t>0.9650</w:t>
            </w:r>
          </w:p>
        </w:tc>
        <w:tc>
          <w:tcPr>
            <w:tcW w:type="dxa" w:w="1742"/>
          </w:tcPr>
          <w:p>
            <w:r>
              <w:rPr>
                <w:sz w:val="15"/>
              </w:rPr>
              <w:t>0.9312</w:t>
            </w:r>
          </w:p>
        </w:tc>
        <w:tc>
          <w:tcPr>
            <w:tcW w:type="dxa" w:w="1742"/>
          </w:tcPr>
          <w:p>
            <w:r>
              <w:rPr>
                <w:sz w:val="15"/>
              </w:rPr>
              <w:t>0.9914</w:t>
            </w:r>
          </w:p>
        </w:tc>
      </w:tr>
      <w:tr>
        <w:tc>
          <w:tcPr>
            <w:tcW w:type="dxa" w:w="1742"/>
          </w:tcPr>
          <w:p>
            <w:r>
              <w:rPr>
                <w:sz w:val="15"/>
              </w:rPr>
              <w:t>No_Tumor</w:t>
            </w:r>
          </w:p>
        </w:tc>
        <w:tc>
          <w:tcPr>
            <w:tcW w:type="dxa" w:w="1742"/>
          </w:tcPr>
          <w:p>
            <w:r>
              <w:rPr>
                <w:sz w:val="15"/>
              </w:rPr>
              <w:t>400</w:t>
            </w:r>
          </w:p>
        </w:tc>
        <w:tc>
          <w:tcPr>
            <w:tcW w:type="dxa" w:w="1742"/>
          </w:tcPr>
          <w:p>
            <w:r>
              <w:rPr>
                <w:sz w:val="15"/>
              </w:rPr>
              <w:t>0.9707</w:t>
            </w:r>
          </w:p>
        </w:tc>
        <w:tc>
          <w:tcPr>
            <w:tcW w:type="dxa" w:w="1742"/>
          </w:tcPr>
          <w:p>
            <w:r>
              <w:rPr>
                <w:sz w:val="15"/>
              </w:rPr>
              <w:t>0.9950</w:t>
            </w:r>
          </w:p>
        </w:tc>
        <w:tc>
          <w:tcPr>
            <w:tcW w:type="dxa" w:w="1742"/>
          </w:tcPr>
          <w:p>
            <w:r>
              <w:rPr>
                <w:sz w:val="15"/>
              </w:rPr>
              <w:t>0.9827</w:t>
            </w:r>
          </w:p>
        </w:tc>
        <w:tc>
          <w:tcPr>
            <w:tcW w:type="dxa" w:w="1742"/>
          </w:tcPr>
          <w:p>
            <w:r>
              <w:rPr>
                <w:sz w:val="15"/>
              </w:rPr>
              <w:t>0.9993</w:t>
            </w:r>
          </w:p>
        </w:tc>
      </w:tr>
      <w:tr>
        <w:tc>
          <w:tcPr>
            <w:tcW w:type="dxa" w:w="1742"/>
          </w:tcPr>
          <w:p>
            <w:r>
              <w:rPr>
                <w:sz w:val="15"/>
              </w:rPr>
              <w:t>Pituitary</w:t>
            </w:r>
          </w:p>
        </w:tc>
        <w:tc>
          <w:tcPr>
            <w:tcW w:type="dxa" w:w="1742"/>
          </w:tcPr>
          <w:p>
            <w:r>
              <w:rPr>
                <w:sz w:val="15"/>
              </w:rPr>
              <w:t>400</w:t>
            </w:r>
          </w:p>
        </w:tc>
        <w:tc>
          <w:tcPr>
            <w:tcW w:type="dxa" w:w="1742"/>
          </w:tcPr>
          <w:p>
            <w:r>
              <w:rPr>
                <w:sz w:val="15"/>
              </w:rPr>
              <w:t>0.9728</w:t>
            </w:r>
          </w:p>
        </w:tc>
        <w:tc>
          <w:tcPr>
            <w:tcW w:type="dxa" w:w="1742"/>
          </w:tcPr>
          <w:p>
            <w:r>
              <w:rPr>
                <w:sz w:val="15"/>
              </w:rPr>
              <w:t>0.9850</w:t>
            </w:r>
          </w:p>
        </w:tc>
        <w:tc>
          <w:tcPr>
            <w:tcW w:type="dxa" w:w="1742"/>
          </w:tcPr>
          <w:p>
            <w:r>
              <w:rPr>
                <w:sz w:val="15"/>
              </w:rPr>
              <w:t>0.9789</w:t>
            </w:r>
          </w:p>
        </w:tc>
        <w:tc>
          <w:tcPr>
            <w:tcW w:type="dxa" w:w="1742"/>
          </w:tcPr>
          <w:p>
            <w:r>
              <w:rPr>
                <w:sz w:val="15"/>
              </w:rPr>
              <w:t>0.9994</w:t>
            </w:r>
          </w:p>
        </w:tc>
      </w:tr>
      <w:tr>
        <w:tc>
          <w:tcPr>
            <w:tcW w:type="dxa" w:w="1742"/>
          </w:tcPr>
          <w:p>
            <w:r>
              <w:rPr>
                <w:sz w:val="15"/>
              </w:rPr>
              <w:t>Macro Avg</w:t>
            </w:r>
          </w:p>
        </w:tc>
        <w:tc>
          <w:tcPr>
            <w:tcW w:type="dxa" w:w="1742"/>
          </w:tcPr>
          <w:p>
            <w:r>
              <w:rPr>
                <w:sz w:val="15"/>
              </w:rPr>
              <w:t>1,600</w:t>
            </w:r>
          </w:p>
        </w:tc>
        <w:tc>
          <w:tcPr>
            <w:tcW w:type="dxa" w:w="1742"/>
          </w:tcPr>
          <w:p>
            <w:r>
              <w:rPr>
                <w:sz w:val="15"/>
              </w:rPr>
              <w:t>0.9566</w:t>
            </w:r>
          </w:p>
        </w:tc>
        <w:tc>
          <w:tcPr>
            <w:tcW w:type="dxa" w:w="1742"/>
          </w:tcPr>
          <w:p>
            <w:r>
              <w:rPr>
                <w:sz w:val="15"/>
              </w:rPr>
              <w:t>0.9550</w:t>
            </w:r>
          </w:p>
        </w:tc>
        <w:tc>
          <w:tcPr>
            <w:tcW w:type="dxa" w:w="1742"/>
          </w:tcPr>
          <w:p>
            <w:r>
              <w:rPr>
                <w:sz w:val="15"/>
              </w:rPr>
              <w:t>0.9547</w:t>
            </w:r>
          </w:p>
        </w:tc>
        <w:tc>
          <w:tcPr>
            <w:tcW w:type="dxa" w:w="1742"/>
          </w:tcPr>
          <w:p>
            <w:r>
              <w:rPr>
                <w:sz w:val="15"/>
              </w:rPr>
              <w:t>0.9919</w:t>
            </w:r>
          </w:p>
        </w:tc>
      </w:tr>
      <w:tr>
        <w:tc>
          <w:tcPr>
            <w:tcW w:type="dxa" w:w="1742"/>
          </w:tcPr>
          <w:p>
            <w:r>
              <w:rPr>
                <w:sz w:val="15"/>
              </w:rPr>
              <w:t>Overall</w:t>
            </w:r>
          </w:p>
        </w:tc>
        <w:tc>
          <w:tcPr>
            <w:tcW w:type="dxa" w:w="1742"/>
          </w:tcPr>
          <w:p>
            <w:r>
              <w:rPr>
                <w:sz w:val="15"/>
              </w:rPr>
              <w:t>1,600</w:t>
            </w:r>
          </w:p>
        </w:tc>
        <w:tc>
          <w:tcPr>
            <w:tcW w:type="dxa" w:w="1742"/>
          </w:tcPr>
          <w:p>
            <w:r>
              <w:rPr>
                <w:sz w:val="15"/>
              </w:rPr>
              <w:t>95.50% (1,528/1,600 Acc)</w:t>
            </w:r>
          </w:p>
        </w:tc>
        <w:tc>
          <w:tcPr>
            <w:tcW w:type="dxa" w:w="1742"/>
          </w:tcPr>
          <w:p>
            <w:r>
              <w:rPr>
                <w:sz w:val="15"/>
              </w:rPr>
            </w:r>
          </w:p>
        </w:tc>
        <w:tc>
          <w:tcPr>
            <w:tcW w:type="dxa" w:w="1742"/>
          </w:tcPr>
          <w:p>
            <w:r>
              <w:rPr>
                <w:sz w:val="15"/>
              </w:rPr>
            </w:r>
          </w:p>
        </w:tc>
        <w:tc>
          <w:tcPr>
            <w:tcW w:type="dxa" w:w="1742"/>
          </w:tcPr>
          <w:p>
            <w:r>
              <w:rPr>
                <w:sz w:val="15"/>
              </w:rPr>
            </w:r>
          </w:p>
        </w:tc>
      </w:tr>
    </w:tbl>
    <w:p>
      <w:pPr>
        <w:keepNext/>
        <w:jc w:val="center"/>
      </w:pPr>
      <w:r>
        <w:rPr>
          <w:rFonts w:ascii="Times New Roman" w:hAnsi="Times New Roman"/>
          <w:b/>
          <w:sz w:val="17"/>
        </w:rPr>
        <w:br/>
        <w:t>TABLE II. CONFUSION MATRIX (N = 1,600)</w:t>
      </w:r>
    </w:p>
    <w:tbl>
      <w:tblPr>
        <w:tblW w:type="auto" w:w="0"/>
        <w:jc w:val="center"/>
        <w:tblLook w:firstColumn="1" w:firstRow="1" w:lastColumn="0" w:lastRow="0" w:noHBand="0" w:noVBand="1" w:val="04A0"/>
      </w:tblPr>
      <w:tblGrid>
        <w:gridCol w:w="2091"/>
        <w:gridCol w:w="2091"/>
        <w:gridCol w:w="2091"/>
        <w:gridCol w:w="2091"/>
        <w:gridCol w:w="2091"/>
      </w:tblGrid>
      <w:tr>
        <w:tc>
          <w:tcPr>
            <w:tcW w:type="dxa" w:w="2091"/>
          </w:tcPr>
          <w:p>
            <w:r>
              <w:rPr>
                <w:b/>
                <w:sz w:val="16"/>
              </w:rPr>
              <w:t>True</w:t>
            </w:r>
          </w:p>
        </w:tc>
        <w:tc>
          <w:tcPr>
            <w:tcW w:type="dxa" w:w="2091"/>
          </w:tcPr>
          <w:p>
            <w:r>
              <w:rPr>
                <w:b/>
                <w:sz w:val="16"/>
              </w:rPr>
              <w:t>Glioma</w:t>
            </w:r>
          </w:p>
        </w:tc>
        <w:tc>
          <w:tcPr>
            <w:tcW w:type="dxa" w:w="2091"/>
          </w:tcPr>
          <w:p>
            <w:r>
              <w:rPr>
                <w:b/>
                <w:sz w:val="16"/>
              </w:rPr>
              <w:t>Mening.</w:t>
            </w:r>
          </w:p>
        </w:tc>
        <w:tc>
          <w:tcPr>
            <w:tcW w:type="dxa" w:w="2091"/>
          </w:tcPr>
          <w:p>
            <w:r>
              <w:rPr>
                <w:b/>
                <w:sz w:val="16"/>
              </w:rPr>
              <w:t>No_Tum.</w:t>
            </w:r>
          </w:p>
        </w:tc>
        <w:tc>
          <w:tcPr>
            <w:tcW w:type="dxa" w:w="2091"/>
          </w:tcPr>
          <w:p>
            <w:r>
              <w:rPr>
                <w:b/>
                <w:sz w:val="16"/>
              </w:rPr>
              <w:t>Pituitary</w:t>
            </w:r>
          </w:p>
        </w:tc>
      </w:tr>
      <w:tr>
        <w:tc>
          <w:tcPr>
            <w:tcW w:type="dxa" w:w="2091"/>
          </w:tcPr>
          <w:p>
            <w:r>
              <w:rPr>
                <w:sz w:val="15"/>
              </w:rPr>
              <w:t>Glioma</w:t>
            </w:r>
          </w:p>
        </w:tc>
        <w:tc>
          <w:tcPr>
            <w:tcW w:type="dxa" w:w="2091"/>
          </w:tcPr>
          <w:p>
            <w:r>
              <w:rPr>
                <w:sz w:val="15"/>
              </w:rPr>
              <w:t>350</w:t>
            </w:r>
          </w:p>
        </w:tc>
        <w:tc>
          <w:tcPr>
            <w:tcW w:type="dxa" w:w="2091"/>
          </w:tcPr>
          <w:p>
            <w:r>
              <w:rPr>
                <w:sz w:val="15"/>
              </w:rPr>
              <w:t>37</w:t>
            </w:r>
          </w:p>
        </w:tc>
        <w:tc>
          <w:tcPr>
            <w:tcW w:type="dxa" w:w="2091"/>
          </w:tcPr>
          <w:p>
            <w:r>
              <w:rPr>
                <w:sz w:val="15"/>
              </w:rPr>
              <w:t>12</w:t>
            </w:r>
          </w:p>
        </w:tc>
        <w:tc>
          <w:tcPr>
            <w:tcW w:type="dxa" w:w="2091"/>
          </w:tcPr>
          <w:p>
            <w:r>
              <w:rPr>
                <w:sz w:val="15"/>
              </w:rPr>
              <w:t>1</w:t>
            </w:r>
          </w:p>
        </w:tc>
      </w:tr>
      <w:tr>
        <w:tc>
          <w:tcPr>
            <w:tcW w:type="dxa" w:w="2091"/>
          </w:tcPr>
          <w:p>
            <w:r>
              <w:rPr>
                <w:sz w:val="15"/>
              </w:rPr>
              <w:t>Mening.</w:t>
            </w:r>
          </w:p>
        </w:tc>
        <w:tc>
          <w:tcPr>
            <w:tcW w:type="dxa" w:w="2091"/>
          </w:tcPr>
          <w:p>
            <w:r>
              <w:rPr>
                <w:sz w:val="15"/>
              </w:rPr>
              <w:t>4</w:t>
            </w:r>
          </w:p>
        </w:tc>
        <w:tc>
          <w:tcPr>
            <w:tcW w:type="dxa" w:w="2091"/>
          </w:tcPr>
          <w:p>
            <w:r>
              <w:rPr>
                <w:sz w:val="15"/>
              </w:rPr>
              <w:t>386</w:t>
            </w:r>
          </w:p>
        </w:tc>
        <w:tc>
          <w:tcPr>
            <w:tcW w:type="dxa" w:w="2091"/>
          </w:tcPr>
          <w:p>
            <w:r>
              <w:rPr>
                <w:sz w:val="15"/>
              </w:rPr>
              <w:t>0</w:t>
            </w:r>
          </w:p>
        </w:tc>
        <w:tc>
          <w:tcPr>
            <w:tcW w:type="dxa" w:w="2091"/>
          </w:tcPr>
          <w:p>
            <w:r>
              <w:rPr>
                <w:sz w:val="15"/>
              </w:rPr>
              <w:t>10</w:t>
            </w:r>
          </w:p>
        </w:tc>
      </w:tr>
      <w:tr>
        <w:tc>
          <w:tcPr>
            <w:tcW w:type="dxa" w:w="2091"/>
          </w:tcPr>
          <w:p>
            <w:r>
              <w:rPr>
                <w:sz w:val="15"/>
              </w:rPr>
              <w:t>No_Tum.</w:t>
            </w:r>
          </w:p>
        </w:tc>
        <w:tc>
          <w:tcPr>
            <w:tcW w:type="dxa" w:w="2091"/>
          </w:tcPr>
          <w:p>
            <w:r>
              <w:rPr>
                <w:sz w:val="15"/>
              </w:rPr>
              <w:t>1</w:t>
            </w:r>
          </w:p>
        </w:tc>
        <w:tc>
          <w:tcPr>
            <w:tcW w:type="dxa" w:w="2091"/>
          </w:tcPr>
          <w:p>
            <w:r>
              <w:rPr>
                <w:sz w:val="15"/>
              </w:rPr>
              <w:t>1</w:t>
            </w:r>
          </w:p>
        </w:tc>
        <w:tc>
          <w:tcPr>
            <w:tcW w:type="dxa" w:w="2091"/>
          </w:tcPr>
          <w:p>
            <w:r>
              <w:rPr>
                <w:sz w:val="15"/>
              </w:rPr>
              <w:t>398</w:t>
            </w:r>
          </w:p>
        </w:tc>
        <w:tc>
          <w:tcPr>
            <w:tcW w:type="dxa" w:w="2091"/>
          </w:tcPr>
          <w:p>
            <w:r>
              <w:rPr>
                <w:sz w:val="15"/>
              </w:rPr>
              <w:t>0</w:t>
            </w:r>
          </w:p>
        </w:tc>
      </w:tr>
      <w:tr>
        <w:tc>
          <w:tcPr>
            <w:tcW w:type="dxa" w:w="2091"/>
          </w:tcPr>
          <w:p>
            <w:r>
              <w:rPr>
                <w:sz w:val="15"/>
              </w:rPr>
              <w:t>Pituitary</w:t>
            </w:r>
          </w:p>
        </w:tc>
        <w:tc>
          <w:tcPr>
            <w:tcW w:type="dxa" w:w="2091"/>
          </w:tcPr>
          <w:p>
            <w:r>
              <w:rPr>
                <w:sz w:val="15"/>
              </w:rPr>
              <w:t>1</w:t>
            </w:r>
          </w:p>
        </w:tc>
        <w:tc>
          <w:tcPr>
            <w:tcW w:type="dxa" w:w="2091"/>
          </w:tcPr>
          <w:p>
            <w:r>
              <w:rPr>
                <w:sz w:val="15"/>
              </w:rPr>
              <w:t>5</w:t>
            </w:r>
          </w:p>
        </w:tc>
        <w:tc>
          <w:tcPr>
            <w:tcW w:type="dxa" w:w="2091"/>
          </w:tcPr>
          <w:p>
            <w:r>
              <w:rPr>
                <w:sz w:val="15"/>
              </w:rPr>
              <w:t>0</w:t>
            </w:r>
          </w:p>
        </w:tc>
        <w:tc>
          <w:tcPr>
            <w:tcW w:type="dxa" w:w="2091"/>
          </w:tcPr>
          <w:p>
            <w:r>
              <w:rPr>
                <w:sz w:val="15"/>
              </w:rPr>
              <w:t>394</w:t>
            </w:r>
          </w:p>
        </w:tc>
      </w:tr>
    </w:tbl>
    <w:p>
      <w:pPr>
        <w:jc w:val="center"/>
      </w:pPr>
      <w:r>
        <w:drawing>
          <wp:inline xmlns:a="http://schemas.openxmlformats.org/drawingml/2006/main" xmlns:pic="http://schemas.openxmlformats.org/drawingml/2006/picture">
            <wp:extent cx="3017520" cy="1459257"/>
            <wp:docPr id="8" name="Picture 8"/>
            <wp:cNvGraphicFramePr>
              <a:graphicFrameLocks noChangeAspect="1"/>
            </wp:cNvGraphicFramePr>
            <a:graphic>
              <a:graphicData uri="http://schemas.openxmlformats.org/drawingml/2006/picture">
                <pic:pic>
                  <pic:nvPicPr>
                    <pic:cNvPr id="0" name="fig2_confusion_roc.png"/>
                    <pic:cNvPicPr/>
                  </pic:nvPicPr>
                  <pic:blipFill>
                    <a:blip r:embed="rId16"/>
                    <a:stretch>
                      <a:fillRect/>
                    </a:stretch>
                  </pic:blipFill>
                  <pic:spPr>
                    <a:xfrm>
                      <a:off x="0" y="0"/>
                      <a:ext cx="3017520" cy="1459257"/>
                    </a:xfrm>
                    <a:prstGeom prst="rect"/>
                  </pic:spPr>
                </pic:pic>
              </a:graphicData>
            </a:graphic>
          </wp:inline>
        </w:drawing>
      </w:r>
    </w:p>
    <w:p>
      <w:pPr>
        <w:spacing w:after="100"/>
        <w:jc w:val="center"/>
      </w:pPr>
      <w:r>
        <w:rPr>
          <w:rFonts w:ascii="Times New Roman" w:hAnsi="Times New Roman"/>
          <w:i/>
          <w:sz w:val="16"/>
        </w:rPr>
        <w:t>Fig. 2. (a) Confusion matrix (N=1,600). (b) One-vs-Rest ROC curves (Macro AUC = 0.9919).</w:t>
      </w:r>
    </w:p>
    <w:p>
      <w:pPr>
        <w:keepNext/>
        <w:spacing w:before="160" w:after="40"/>
      </w:pPr>
      <w:r>
        <w:rPr>
          <w:rFonts w:ascii="Times New Roman" w:hAnsi="Times New Roman"/>
          <w:b/>
          <w:sz w:val="20"/>
        </w:rPr>
        <w:t>V. FORENSIC AUDITING: LEAKAGE &amp; LOCALIZATION</w:t>
      </w:r>
    </w:p>
    <w:p>
      <w:pPr>
        <w:spacing w:after="80" w:line="252" w:lineRule="auto"/>
        <w:jc w:val="both"/>
      </w:pPr>
      <w:r>
        <w:rPr>
          <w:rFonts w:ascii="Times New Roman" w:hAnsi="Times New Roman"/>
          <w:sz w:val="19"/>
        </w:rPr>
        <w:t>An automated pixel-level hash deduplication audit (audit_leakage.py) revealed that 114 out of 1,600 test images (7.12%) were byte-identical duplicates of training images. Notably, 100 duplicates occurred in Meningioma (25.0% of that class's test cohort). On the strictly leak-free partition (N = 1,486 uncontaminated scans), NeuroScan CDS retained 95.42% accuracy and 0.9518 macro F1. The small shift (-0.08 points) proves the architecture learned authentic generalizable representations rather than memorizing duplicate slices.</w:t>
      </w:r>
    </w:p>
    <w:p>
      <w:pPr>
        <w:spacing w:after="80" w:line="252" w:lineRule="auto"/>
        <w:jc w:val="both"/>
      </w:pPr>
      <w:r>
        <w:rPr>
          <w:rFonts w:ascii="Times New Roman" w:hAnsi="Times New Roman"/>
          <w:sz w:val="19"/>
        </w:rPr>
        <w:t>Localization analysis (validate_localisation.py) revealed that because layer 4 maps measure 5×5 spatial cells for a 144×144 input, the saliency separation between activated ROIs and random brain patches was |Δ| = 0.025 (below the 0.05 threshold for autonomous contouring). This confirms Grad-CAM++ functions reliably for coarse regional visual attention but cannot substitute for segmentation masks. Consequently, WHO grading is provided as an evidence-based clinical reference lookup.</w:t>
      </w:r>
    </w:p>
    <w:p>
      <w:pPr>
        <w:jc w:val="center"/>
      </w:pPr>
      <w:r>
        <w:drawing>
          <wp:inline xmlns:a="http://schemas.openxmlformats.org/drawingml/2006/main" xmlns:pic="http://schemas.openxmlformats.org/drawingml/2006/picture">
            <wp:extent cx="3017520" cy="2858799"/>
            <wp:docPr id="9" name="Picture 9"/>
            <wp:cNvGraphicFramePr>
              <a:graphicFrameLocks noChangeAspect="1"/>
            </wp:cNvGraphicFramePr>
            <a:graphic>
              <a:graphicData uri="http://schemas.openxmlformats.org/drawingml/2006/picture">
                <pic:pic>
                  <pic:nvPicPr>
                    <pic:cNvPr id="0" name="fig3_real_mri_heatmaps_quad.png"/>
                    <pic:cNvPicPr/>
                  </pic:nvPicPr>
                  <pic:blipFill>
                    <a:blip r:embed="rId17"/>
                    <a:stretch>
                      <a:fillRect/>
                    </a:stretch>
                  </pic:blipFill>
                  <pic:spPr>
                    <a:xfrm>
                      <a:off x="0" y="0"/>
                      <a:ext cx="3017520" cy="2858799"/>
                    </a:xfrm>
                    <a:prstGeom prst="rect"/>
                  </pic:spPr>
                </pic:pic>
              </a:graphicData>
            </a:graphic>
          </wp:inline>
        </w:drawing>
      </w:r>
    </w:p>
    <w:p>
      <w:pPr>
        <w:spacing w:after="100"/>
        <w:jc w:val="center"/>
      </w:pPr>
      <w:r>
        <w:rPr>
          <w:rFonts w:ascii="Times New Roman" w:hAnsi="Times New Roman"/>
          <w:i/>
          <w:sz w:val="16"/>
        </w:rPr>
        <w:t>Fig. 3. Real held-out test scans and autograd Grad-CAM++ saliency overlays across all 4 classes.</w:t>
      </w:r>
    </w:p>
    <w:p>
      <w:pPr>
        <w:keepNext/>
        <w:spacing w:before="160" w:after="40"/>
      </w:pPr>
      <w:r>
        <w:rPr>
          <w:rFonts w:ascii="Times New Roman" w:hAnsi="Times New Roman"/>
          <w:b/>
          <w:sz w:val="20"/>
        </w:rPr>
        <w:t>VI. CLINICAL WORKSTATION INTEGRATION &amp; IRB PROTOCOL</w:t>
      </w:r>
    </w:p>
    <w:p>
      <w:pPr>
        <w:spacing w:after="80" w:line="252" w:lineRule="auto"/>
        <w:jc w:val="both"/>
      </w:pPr>
      <w:r>
        <w:rPr>
          <w:rFonts w:ascii="Times New Roman" w:hAnsi="Times New Roman"/>
          <w:sz w:val="19"/>
        </w:rPr>
        <w:t>NeuroScan CDS is packaged as a local workstation (app.py) operating with zero cloud transmission for strict HIPAA and DPDPA compliance. The system computes automated pre-operative neurosurgical planning metrics: (1) Compartment localization, (2) Midline shift mass effect:</w:t>
      </w:r>
    </w:p>
    <w:p>
      <w:pPr>
        <w:keepNext/>
        <w:spacing w:before="40" w:after="40"/>
        <w:jc w:val="center"/>
      </w:pPr>
      <w:r>
        <w:drawing>
          <wp:inline xmlns:a="http://schemas.openxmlformats.org/drawingml/2006/main" xmlns:pic="http://schemas.openxmlformats.org/drawingml/2006/picture">
            <wp:extent cx="3017520" cy="402933"/>
            <wp:docPr id="10" name="Picture 10"/>
            <wp:cNvGraphicFramePr>
              <a:graphicFrameLocks noChangeAspect="1"/>
            </wp:cNvGraphicFramePr>
            <a:graphic>
              <a:graphicData uri="http://schemas.openxmlformats.org/drawingml/2006/picture">
                <pic:pic>
                  <pic:nvPicPr>
                    <pic:cNvPr id="0" name="eq7_midline.png"/>
                    <pic:cNvPicPr/>
                  </pic:nvPicPr>
                  <pic:blipFill>
                    <a:blip r:embed="rId18"/>
                    <a:stretch>
                      <a:fillRect/>
                    </a:stretch>
                  </pic:blipFill>
                  <pic:spPr>
                    <a:xfrm>
                      <a:off x="0" y="0"/>
                      <a:ext cx="3017520" cy="402933"/>
                    </a:xfrm>
                    <a:prstGeom prst="rect"/>
                  </pic:spPr>
                </pic:pic>
              </a:graphicData>
            </a:graphic>
          </wp:inline>
        </w:drawing>
      </w:r>
    </w:p>
    <w:p>
      <w:pPr>
        <w:spacing w:after="80" w:line="252" w:lineRule="auto"/>
        <w:jc w:val="both"/>
      </w:pPr>
      <w:r>
        <w:rPr>
          <w:rFonts w:ascii="Times New Roman" w:hAnsi="Times New Roman"/>
          <w:sz w:val="19"/>
        </w:rPr>
        <w:t>alerting when shift &gt; 3.0 mm, and (3) Surgical approach advisories (e.g., awake craniotomy with intraoperative speech mapping for left frontal masses near Broca's area; endoscopic endonasal approach for sellar macroadenomas).</w:t>
      </w:r>
    </w:p>
    <w:p>
      <w:pPr>
        <w:keepNext/>
        <w:spacing w:before="160" w:after="40"/>
      </w:pPr>
      <w:r>
        <w:rPr>
          <w:rFonts w:ascii="Times New Roman" w:hAnsi="Times New Roman"/>
          <w:b/>
          <w:sz w:val="20"/>
        </w:rPr>
        <w:t>VII. DISCUSSION &amp; TRANSLATIONAL LIMITATIONS</w:t>
      </w:r>
    </w:p>
    <w:p>
      <w:pPr>
        <w:spacing w:after="80" w:line="252" w:lineRule="auto"/>
        <w:jc w:val="both"/>
      </w:pPr>
      <w:r>
        <w:rPr>
          <w:rFonts w:ascii="Times New Roman" w:hAnsi="Times New Roman"/>
          <w:sz w:val="19"/>
        </w:rPr>
        <w:t>The findings prove that dual-branch spatial-texture fusion provides substantial diagnostic advantages. HOG-PCA injects fine-grained subcortical texture features that prevent deep attention from over-fitting on gross contrast boundaries alone. Furthermore, the Shannon entropy guard (H_norm ≤ 0.70) prevents catastrophic hallucinations on corrupted scans.</w:t>
      </w:r>
    </w:p>
    <w:p>
      <w:pPr>
        <w:keepNext/>
        <w:spacing w:before="160" w:after="40"/>
      </w:pPr>
      <w:r>
        <w:rPr>
          <w:rFonts w:ascii="Times New Roman" w:hAnsi="Times New Roman"/>
          <w:b/>
          <w:sz w:val="20"/>
        </w:rPr>
        <w:t>VIII. CONCLUSION</w:t>
      </w:r>
    </w:p>
    <w:p>
      <w:pPr>
        <w:spacing w:after="80" w:line="252" w:lineRule="auto"/>
        <w:jc w:val="both"/>
      </w:pPr>
      <w:r>
        <w:rPr>
          <w:rFonts w:ascii="Times New Roman" w:hAnsi="Times New Roman"/>
          <w:sz w:val="19"/>
        </w:rPr>
        <w:t>NeuroScan CDS advances medical machine learning by coupling deep attention networks with handcrafted texture descriptors, empirical data leakage audits, 3D multi-planar exploration, and out-of-distribution safety gating. Achieving 95.50% test accuracy on held-out benchmarks and 95.42% on strictly leak-free partitions with 0.9919 macro AUC, the system establishes a transparent, clinically auditable foundation for neuro-oncological clinical decision support.</w:t>
      </w:r>
    </w:p>
    <w:p>
      <w:pPr>
        <w:keepNext/>
        <w:spacing w:before="160" w:after="40"/>
      </w:pPr>
      <w:r>
        <w:rPr>
          <w:rFonts w:ascii="Times New Roman" w:hAnsi="Times New Roman"/>
          <w:b/>
          <w:sz w:val="20"/>
        </w:rPr>
        <w:t>REFERENCES</w:t>
      </w:r>
    </w:p>
    <w:p>
      <w:pPr>
        <w:spacing w:after="40"/>
      </w:pPr>
      <w:r>
        <w:rPr>
          <w:rFonts w:ascii="Times New Roman" w:hAnsi="Times New Roman"/>
          <w:sz w:val="16"/>
        </w:rPr>
        <w:t>[1] D. N. Louis et al., 'The 2021 WHO Classification of Tumors of the Central Nervous System: a summary,' Neuro-Oncology, vol. 23, no. 8, pp. 1231–1251, 2021.</w:t>
      </w:r>
    </w:p>
    <w:p>
      <w:pPr>
        <w:spacing w:after="40"/>
      </w:pPr>
      <w:r>
        <w:rPr>
          <w:rFonts w:ascii="Times New Roman" w:hAnsi="Times New Roman"/>
          <w:sz w:val="16"/>
        </w:rPr>
        <w:t>[2] B. H. Menze et al., 'The Multimodal Brain Tumor Image Segmentation Benchmark (BRATS),' IEEE Trans. Med. Imag., vol. 34, no. 10, pp. 1993–2024, 2014.</w:t>
      </w:r>
    </w:p>
    <w:p>
      <w:pPr>
        <w:spacing w:after="40"/>
      </w:pPr>
      <w:r>
        <w:rPr>
          <w:rFonts w:ascii="Times New Roman" w:hAnsi="Times New Roman"/>
          <w:sz w:val="16"/>
        </w:rPr>
        <w:t>[3] K. He, X. Zhang, S. Ren, and J. Sun, 'Deep residual learning for image recognition,' in Proc. IEEE CVPR, 2016, pp. 770–778.</w:t>
      </w:r>
    </w:p>
    <w:p>
      <w:pPr>
        <w:spacing w:after="40"/>
      </w:pPr>
      <w:r>
        <w:rPr>
          <w:rFonts w:ascii="Times New Roman" w:hAnsi="Times New Roman"/>
          <w:sz w:val="16"/>
        </w:rPr>
        <w:t>[4] S. Woo, J. Park, J.-Y. Lee, and I. S. Kweon, 'CBAM: Convolutional block attention module,' in Proc. ECCV, 2018, pp. 3–19.</w:t>
      </w:r>
    </w:p>
    <w:p>
      <w:pPr>
        <w:spacing w:after="40"/>
      </w:pPr>
      <w:r>
        <w:rPr>
          <w:rFonts w:ascii="Times New Roman" w:hAnsi="Times New Roman"/>
          <w:sz w:val="16"/>
        </w:rPr>
        <w:t>[5] N. Dalal and B. Triggs, 'Histograms of oriented gradients for human detection,' in Proc. IEEE CVPR, 2005, vol. 1, pp. 886–893.</w:t>
      </w:r>
    </w:p>
    <w:p>
      <w:pPr>
        <w:spacing w:after="40"/>
      </w:pPr>
      <w:r>
        <w:rPr>
          <w:rFonts w:ascii="Times New Roman" w:hAnsi="Times New Roman"/>
          <w:sz w:val="16"/>
        </w:rPr>
        <w:t>[6] T.-Y. Lin et al., 'Focal loss for dense object detection,' in Proc. IEEE ICCV, 2017, pp. 2980–2988.</w:t>
      </w:r>
    </w:p>
    <w:p>
      <w:pPr>
        <w:spacing w:after="40"/>
      </w:pPr>
      <w:r>
        <w:rPr>
          <w:rFonts w:ascii="Times New Roman" w:hAnsi="Times New Roman"/>
          <w:sz w:val="16"/>
        </w:rPr>
        <w:t>[7] A. Chattopadhay et al., 'Grad-CAM++: Generalized gradient-based visual explanations,' in Proc. IEEE WACV, 2018, pp. 839–847.</w:t>
      </w:r>
    </w:p>
    <w:p>
      <w:pPr>
        <w:spacing w:after="40"/>
      </w:pPr>
      <w:r>
        <w:rPr>
          <w:rFonts w:ascii="Times New Roman" w:hAnsi="Times New Roman"/>
          <w:sz w:val="16"/>
        </w:rPr>
        <w:t>[8] C. Guo et al., 'On calibration of modern neural networks,' in Proc. ICML, 2017, pp. 1321–1330.</w:t>
      </w:r>
    </w:p>
    <w:p>
      <w:pPr>
        <w:spacing w:after="40"/>
      </w:pPr>
      <w:r>
        <w:rPr>
          <w:rFonts w:ascii="Times New Roman" w:hAnsi="Times New Roman"/>
          <w:sz w:val="16"/>
        </w:rPr>
        <w:t>[9] S. Bhuvaji et al., 'Brain Tumor Classification (MRI),' Kaggle Dataset, doi: 10.34740/KAGGLE/DSV/1183165, 2020.</w:t>
      </w:r>
    </w:p>
    <w:p>
      <w:pPr>
        <w:spacing w:after="40"/>
      </w:pPr>
      <w:r>
        <w:rPr>
          <w:rFonts w:ascii="Times New Roman" w:hAnsi="Times New Roman"/>
          <w:sz w:val="16"/>
        </w:rPr>
        <w:t>[10] U.S. FDA, 'Clinical Decision Support Software: Guidance for Industry,' FDA-2017-D-6569, Sep. 2022.</w:t>
      </w:r>
    </w:p>
    <w:p>
      <w:pPr>
        <w:spacing w:after="40"/>
      </w:pPr>
      <w:r>
        <w:rPr>
          <w:rFonts w:ascii="Times New Roman" w:hAnsi="Times New Roman"/>
          <w:sz w:val="16"/>
        </w:rPr>
        <w:t>[11] ISO, 'Medical device software — Software life cycle processes,' IEC 62304:2006/Amd 1:2015, 2015.</w:t>
      </w:r>
    </w:p>
    <w:sectPr w:rsidR="00FC693F" w:rsidRPr="0006063C" w:rsidSect="00034616">
      <w:pgSz w:w="12240" w:h="15840"/>
      <w:pgMar w:top="1080" w:right="893" w:bottom="1440" w:left="893" w:header="720" w:footer="720" w:gutter="0"/>
      <w:cols w:space="720"/>
      <w:docGrid w:linePitch="360"/>
      <w:cols w:num="2" w:spa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