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CE4A" w14:textId="631FF343" w:rsidR="00D930AE" w:rsidRPr="00D930AE" w:rsidRDefault="000F656A" w:rsidP="00D930AE">
      <w:pPr>
        <w:shd w:val="clear" w:color="auto" w:fill="FFFFFF"/>
        <w:spacing w:after="45" w:line="240" w:lineRule="auto"/>
        <w:jc w:val="center"/>
        <w:outlineLvl w:val="0"/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</w:pPr>
      <w:r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AIN&amp;</w:t>
      </w:r>
      <w:r w:rsidR="00D930AE" w:rsidRPr="00D930AE"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P</w:t>
      </w:r>
      <w:r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FI</w:t>
      </w:r>
      <w:r w:rsidR="00D930AE" w:rsidRPr="00D930AE"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 xml:space="preserve"> — </w:t>
      </w:r>
      <w:r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 xml:space="preserve">Strategic </w:t>
      </w:r>
      <w:r w:rsidR="00D930AE" w:rsidRPr="00D930AE"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Growth</w:t>
      </w:r>
      <w:r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/</w:t>
      </w:r>
      <w:r w:rsidRPr="000F656A">
        <w:rPr>
          <w:rFonts w:ascii="Playfair Display" w:eastAsia="Times New Roman" w:hAnsi="Playfair Display" w:cs="Times New Roman"/>
          <w:b/>
          <w:bCs/>
          <w:color w:val="0D1F35"/>
          <w:kern w:val="36"/>
          <w:sz w:val="38"/>
          <w:szCs w:val="38"/>
          <w14:ligatures w14:val="none"/>
        </w:rPr>
        <w:t>Budget Realignment Initiative</w:t>
      </w:r>
    </w:p>
    <w:p w14:paraId="6F32C5E5" w14:textId="00B1EF8F" w:rsidR="00D930AE" w:rsidRPr="00D930AE" w:rsidRDefault="000F656A" w:rsidP="00D930A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</w:pPr>
      <w:r w:rsidRPr="000F656A"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  <w:t>Freeing AIN Marketing Spend &amp;amp; Scaling PFI via External Funding</w:t>
      </w:r>
      <w:r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  <w:t xml:space="preserve"> - </w:t>
      </w:r>
      <w:r w:rsidR="00D930AE" w:rsidRPr="00D930AE"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  <w:t>Scaling what's already working — with external funding</w:t>
      </w:r>
    </w:p>
    <w:p w14:paraId="47B6E6DB" w14:textId="77777777" w:rsidR="00D930AE" w:rsidRDefault="00D930AE" w:rsidP="00D930A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777777"/>
          <w:kern w:val="0"/>
          <w:sz w:val="16"/>
          <w:szCs w:val="16"/>
          <w14:ligatures w14:val="none"/>
        </w:rPr>
      </w:pPr>
    </w:p>
    <w:p w14:paraId="7AFB699D" w14:textId="75548D1F" w:rsidR="00D930AE" w:rsidRDefault="00D930AE" w:rsidP="00D930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777777"/>
          <w:kern w:val="0"/>
          <w:sz w:val="16"/>
          <w:szCs w:val="16"/>
          <w14:ligatures w14:val="none"/>
        </w:rPr>
        <w:t>To:</w:t>
      </w:r>
      <w:r w:rsidRPr="00D930AE"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  <w:t> ALL ISRAEL NEWS Senior Leadership</w:t>
      </w:r>
      <w:r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  <w:t xml:space="preserve"> </w:t>
      </w:r>
    </w:p>
    <w:p w14:paraId="65C2982B" w14:textId="77777777" w:rsidR="00D930AE" w:rsidRDefault="00D930AE" w:rsidP="00D930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777777"/>
          <w:kern w:val="0"/>
          <w:sz w:val="16"/>
          <w:szCs w:val="16"/>
          <w14:ligatures w14:val="none"/>
        </w:rPr>
        <w:t>From:</w:t>
      </w:r>
      <w:r w:rsidRPr="00D930AE"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  <w:t> PFI Project Lead</w:t>
      </w:r>
    </w:p>
    <w:p w14:paraId="09DEDA4E" w14:textId="1A0FA892" w:rsidR="00D930AE" w:rsidRPr="00D930AE" w:rsidRDefault="00D930AE" w:rsidP="00D930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777777"/>
          <w:kern w:val="0"/>
          <w:sz w:val="16"/>
          <w:szCs w:val="16"/>
          <w14:ligatures w14:val="none"/>
        </w:rPr>
        <w:t>Date:</w:t>
      </w:r>
      <w:r w:rsidRPr="00D930AE">
        <w:rPr>
          <w:rFonts w:ascii="Arial" w:eastAsia="Times New Roman" w:hAnsi="Arial" w:cs="Arial"/>
          <w:color w:val="777777"/>
          <w:kern w:val="0"/>
          <w:sz w:val="16"/>
          <w:szCs w:val="16"/>
          <w14:ligatures w14:val="none"/>
        </w:rPr>
        <w:t> June 2026</w:t>
      </w:r>
    </w:p>
    <w:p w14:paraId="346A8453" w14:textId="77777777" w:rsidR="00AA76B1" w:rsidRDefault="00AA76B1"/>
    <w:p w14:paraId="2B38E7A9" w14:textId="77777777" w:rsidR="00D930AE" w:rsidRPr="00D930AE" w:rsidRDefault="00D930AE" w:rsidP="00D930AE">
      <w:pPr>
        <w:shd w:val="clear" w:color="auto" w:fill="EEFBF3"/>
        <w:spacing w:after="0" w:line="240" w:lineRule="auto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Bottom Line: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The PFI integration is already delivering results — our long-term reader retention has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more than doubled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since deployment (GA4-verified). However, the current PFI budget consumes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our entire monthly marketing allocation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, and the map's impact would multiply dramatically if more intercessors were visible. We propose securing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external funding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to both free up our marketing budget for its intended purposes and guarantee a dedicated, larger PFI budget from outside sources.</w:t>
      </w:r>
    </w:p>
    <w:p w14:paraId="411C1157" w14:textId="77777777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1. The PFI Integration Is Already Working</w:t>
      </w:r>
    </w:p>
    <w:p w14:paraId="6CD2135D" w14:textId="77777777" w:rsid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Since deploying PFI interactive banners across AIN in mid-May 2026, our GA4 cohort data shows a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structural improvement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in reader behavior. This is not a hypothesis — it is a measured result:</w:t>
      </w:r>
    </w:p>
    <w:p w14:paraId="756BF967" w14:textId="77777777" w:rsidR="00697F87" w:rsidRPr="00D930AE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tbl>
      <w:tblPr>
        <w:tblW w:w="92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2133"/>
        <w:gridCol w:w="2254"/>
        <w:gridCol w:w="2388"/>
      </w:tblGrid>
      <w:tr w:rsidR="00D930AE" w:rsidRPr="00D930AE" w14:paraId="0A45682D" w14:textId="77777777" w:rsidTr="00697F87">
        <w:trPr>
          <w:trHeight w:val="413"/>
        </w:trPr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23DD20B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Retention Period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8AFC232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Pre-PFI</w:t>
            </w: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br/>
              <w:t>(Jan 1 – May 15)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B9B59A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Post-PFI</w:t>
            </w: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br/>
              <w:t>(May 16 – Jun 21)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478D30C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Relative Change</w:t>
            </w:r>
          </w:p>
        </w:tc>
      </w:tr>
      <w:tr w:rsidR="00D930AE" w:rsidRPr="00D930AE" w14:paraId="7FADF789" w14:textId="77777777" w:rsidTr="00697F87">
        <w:trPr>
          <w:trHeight w:val="238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BA40A5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Week 1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4EB98E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1.5%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315E97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2.1%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06B72C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+40%</w:t>
            </w:r>
          </w:p>
        </w:tc>
      </w:tr>
      <w:tr w:rsidR="00D930AE" w:rsidRPr="00D930AE" w14:paraId="4A20D82B" w14:textId="77777777" w:rsidTr="00697F87">
        <w:trPr>
          <w:trHeight w:val="254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FE39D4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Week 2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D6BFB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0.9%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246097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1.6%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9A439E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+78%</w:t>
            </w:r>
          </w:p>
        </w:tc>
      </w:tr>
      <w:tr w:rsidR="00D930AE" w:rsidRPr="00D930AE" w14:paraId="4319540E" w14:textId="77777777" w:rsidTr="00697F87">
        <w:trPr>
          <w:trHeight w:val="238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11C64E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Week 3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F1929F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0.7%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92DA5D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1.4%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D0249C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+100% (2×)</w:t>
            </w:r>
          </w:p>
        </w:tc>
      </w:tr>
      <w:tr w:rsidR="00D930AE" w:rsidRPr="00D930AE" w14:paraId="1F0B2F5C" w14:textId="77777777" w:rsidTr="00697F87">
        <w:trPr>
          <w:trHeight w:val="238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BA7FB1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Week 4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C184A4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0.6%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0A4B2A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1.5%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F25DF4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+150% (2.5×)</w:t>
            </w:r>
          </w:p>
        </w:tc>
      </w:tr>
    </w:tbl>
    <w:p w14:paraId="0B24AE79" w14:textId="77777777" w:rsidR="00D930AE" w:rsidRPr="00D930AE" w:rsidRDefault="00D930AE" w:rsidP="00D930AE">
      <w:pPr>
        <w:shd w:val="clear" w:color="auto" w:fill="F7F7F7"/>
        <w:spacing w:after="0" w:line="240" w:lineRule="auto"/>
        <w:rPr>
          <w:rFonts w:ascii="Consolas" w:eastAsia="Times New Roman" w:hAnsi="Consolas" w:cs="Consolas"/>
          <w:color w:val="1A1A2E"/>
          <w:kern w:val="0"/>
          <w:sz w:val="17"/>
          <w:szCs w:val="17"/>
          <w14:ligatures w14:val="none"/>
        </w:rPr>
      </w:pPr>
      <w:r w:rsidRPr="00D930AE">
        <w:rPr>
          <w:rFonts w:ascii="Consolas" w:eastAsia="Times New Roman" w:hAnsi="Consolas" w:cs="Consolas"/>
          <w:b/>
          <w:bCs/>
          <w:color w:val="C0392B"/>
          <w:kern w:val="0"/>
          <w:sz w:val="17"/>
          <w:szCs w:val="17"/>
          <w14:ligatures w14:val="none"/>
        </w:rPr>
        <w:t>PRE-PFI:</w:t>
      </w:r>
      <w:r w:rsidRPr="00D930AE">
        <w:rPr>
          <w:rFonts w:ascii="Consolas" w:eastAsia="Times New Roman" w:hAnsi="Consolas" w:cs="Consolas"/>
          <w:color w:val="1A1A2E"/>
          <w:kern w:val="0"/>
          <w:sz w:val="17"/>
          <w:szCs w:val="17"/>
          <w14:ligatures w14:val="none"/>
        </w:rPr>
        <w:t>  1.5% → 0.9% → 0.7% → 0.6%   </w:t>
      </w:r>
      <w:r w:rsidRPr="00D930AE">
        <w:rPr>
          <w:rFonts w:ascii="Consolas" w:eastAsia="Times New Roman" w:hAnsi="Consolas" w:cs="Consolas"/>
          <w:color w:val="C0392B"/>
          <w:kern w:val="0"/>
          <w:sz w:val="17"/>
          <w:szCs w:val="17"/>
          <w14:ligatures w14:val="none"/>
        </w:rPr>
        <w:t>▼ steady decline — readers leak out</w:t>
      </w:r>
      <w:r w:rsidRPr="00D930AE">
        <w:rPr>
          <w:rFonts w:ascii="Consolas" w:eastAsia="Times New Roman" w:hAnsi="Consolas" w:cs="Consolas"/>
          <w:color w:val="1A1A2E"/>
          <w:kern w:val="0"/>
          <w:sz w:val="17"/>
          <w:szCs w:val="17"/>
          <w14:ligatures w14:val="none"/>
        </w:rPr>
        <w:br/>
      </w:r>
      <w:r w:rsidRPr="00D930AE">
        <w:rPr>
          <w:rFonts w:ascii="Consolas" w:eastAsia="Times New Roman" w:hAnsi="Consolas" w:cs="Consolas"/>
          <w:b/>
          <w:bCs/>
          <w:color w:val="27AE60"/>
          <w:kern w:val="0"/>
          <w:sz w:val="17"/>
          <w:szCs w:val="17"/>
          <w14:ligatures w14:val="none"/>
        </w:rPr>
        <w:t>POST-PFI:</w:t>
      </w:r>
      <w:r w:rsidRPr="00D930AE">
        <w:rPr>
          <w:rFonts w:ascii="Consolas" w:eastAsia="Times New Roman" w:hAnsi="Consolas" w:cs="Consolas"/>
          <w:color w:val="1A1A2E"/>
          <w:kern w:val="0"/>
          <w:sz w:val="17"/>
          <w:szCs w:val="17"/>
          <w14:ligatures w14:val="none"/>
        </w:rPr>
        <w:t> 2.1% → 1.6% → 1.4% → 1.5%   </w:t>
      </w:r>
      <w:r w:rsidRPr="00D930AE">
        <w:rPr>
          <w:rFonts w:ascii="Consolas" w:eastAsia="Times New Roman" w:hAnsi="Consolas" w:cs="Consolas"/>
          <w:color w:val="27AE60"/>
          <w:kern w:val="0"/>
          <w:sz w:val="17"/>
          <w:szCs w:val="17"/>
          <w14:ligatures w14:val="none"/>
        </w:rPr>
        <w:t>▲ stabilizes, rebounds — community behavior</w:t>
      </w:r>
    </w:p>
    <w:p w14:paraId="01237A5D" w14:textId="77777777" w:rsidR="00697F87" w:rsidRDefault="00697F87" w:rsidP="00697F8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5413828F" w14:textId="582AE86D" w:rsidR="00697F87" w:rsidRPr="00D930AE" w:rsidRDefault="00D930AE" w:rsidP="00697F8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The PFI prayer map acts as a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"seal of authenticity"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for evangelical first-time visitors. Seeing real believers praying in real time from around the world transforms a news visit into a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community experience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— and community is what brings people back.</w:t>
      </w:r>
    </w:p>
    <w:p w14:paraId="2E9919DA" w14:textId="77777777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2. A Unified Brand: Prayer Points + Global Prayer</w:t>
      </w:r>
    </w:p>
    <w:p w14:paraId="42818DD2" w14:textId="77777777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The integration of AIN and PFI is not simply a technical feature — it creates a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unique, unified brand positioning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that no competitor can replicate:</w:t>
      </w:r>
    </w:p>
    <w:p w14:paraId="2AE034BA" w14:textId="13245567" w:rsidR="00D930AE" w:rsidRPr="00D930AE" w:rsidRDefault="00D930AE" w:rsidP="00697F87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FFFFFF"/>
          <w:kern w:val="0"/>
          <w:sz w:val="17"/>
          <w:szCs w:val="17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FFFFFF"/>
          <w:spacing w:val="8"/>
          <w:kern w:val="0"/>
          <w:sz w:val="26"/>
          <w:szCs w:val="26"/>
          <w14:ligatures w14:val="none"/>
        </w:rPr>
        <w:t xml:space="preserve">ALL ISRAEL </w:t>
      </w:r>
      <w:r w:rsidRPr="00044C5C">
        <w:drawing>
          <wp:inline distT="0" distB="0" distL="0" distR="0" wp14:anchorId="2371527E" wp14:editId="27D55A46">
            <wp:extent cx="5923393" cy="1104466"/>
            <wp:effectExtent l="0" t="0" r="0" b="635"/>
            <wp:docPr id="5569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641" cy="11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0AE">
        <w:rPr>
          <w:rFonts w:ascii="Arial" w:eastAsia="Times New Roman" w:hAnsi="Arial" w:cs="Arial"/>
          <w:b/>
          <w:bCs/>
          <w:color w:val="FFFFFF"/>
          <w:spacing w:val="8"/>
          <w:kern w:val="0"/>
          <w:sz w:val="20"/>
          <w:szCs w:val="20"/>
          <w14:ligatures w14:val="none"/>
        </w:rPr>
        <w:t>Prayer Action</w:t>
      </w:r>
    </w:p>
    <w:p w14:paraId="76538DE5" w14:textId="77777777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AIN provides the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what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and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why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to pray for. PFI provides the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where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and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with whom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. Together, they form a brand that is simultaneously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informational, spiritual, and communal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 xml:space="preserve"> — a combination no other pro-Israel 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lastRenderedPageBreak/>
        <w:t>media or ministry offers. This dual positioning strengthens both products: AIN articles become prayer fuel, and PFI engagement drives readers back to AIN.</w:t>
      </w:r>
    </w:p>
    <w:p w14:paraId="7E779195" w14:textId="77777777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3. Two Problems to Solve</w:t>
      </w:r>
    </w:p>
    <w:p w14:paraId="4C190A06" w14:textId="77777777" w:rsidR="00D930AE" w:rsidRPr="00D930AE" w:rsidRDefault="00D930AE" w:rsidP="00D930AE">
      <w:pPr>
        <w:shd w:val="clear" w:color="auto" w:fill="FFFFFF"/>
        <w:spacing w:before="180" w:after="60" w:line="240" w:lineRule="auto"/>
        <w:outlineLvl w:val="2"/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Problem A: The marketing budget is maxed out</w:t>
      </w:r>
    </w:p>
    <w:p w14:paraId="77A25C9F" w14:textId="77777777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The current PFI operating cost (~$2,000/month) is being funded from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AIN's full monthly marketing budget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. This means:</w:t>
      </w:r>
    </w:p>
    <w:p w14:paraId="2AC834CD" w14:textId="0B2F4D23" w:rsidR="00D930AE" w:rsidRPr="00D930AE" w:rsidRDefault="00D930AE" w:rsidP="00D930AE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Marketing has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zero remaining budget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 xml:space="preserve"> for other campaigns, SEO, paid acquisition, </w:t>
      </w:r>
      <w:r w:rsidR="00697F87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etc.</w:t>
      </w:r>
    </w:p>
    <w:p w14:paraId="5D9E6BAC" w14:textId="77777777" w:rsidR="00D930AE" w:rsidRPr="00D930AE" w:rsidRDefault="00D930AE" w:rsidP="00D930AE">
      <w:pPr>
        <w:numPr>
          <w:ilvl w:val="0"/>
          <w:numId w:val="1"/>
        </w:numPr>
        <w:shd w:val="clear" w:color="auto" w:fill="FFFFFF"/>
        <w:spacing w:after="9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PFI funding is competing with — and crowding out — AIN's core growth needs</w:t>
      </w:r>
    </w:p>
    <w:p w14:paraId="21957F1A" w14:textId="77777777" w:rsidR="00D930AE" w:rsidRPr="00D930AE" w:rsidRDefault="00D930AE" w:rsidP="00D930AE">
      <w:pPr>
        <w:numPr>
          <w:ilvl w:val="0"/>
          <w:numId w:val="1"/>
        </w:numPr>
        <w:shd w:val="clear" w:color="auto" w:fill="FFFFFF"/>
        <w:spacing w:after="9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This is not sustainable: marketing needs its budget back for its primary mission</w:t>
      </w:r>
    </w:p>
    <w:p w14:paraId="7F39C535" w14:textId="77777777" w:rsidR="00D930AE" w:rsidRPr="00D930AE" w:rsidRDefault="00D930AE" w:rsidP="00D930AE">
      <w:pPr>
        <w:shd w:val="clear" w:color="auto" w:fill="FFFFFF"/>
        <w:spacing w:before="180" w:after="60" w:line="240" w:lineRule="auto"/>
        <w:outlineLvl w:val="2"/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Problem B: The map could be far more impactful</w:t>
      </w:r>
    </w:p>
    <w:p w14:paraId="664F8E5E" w14:textId="77777777" w:rsid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The current results are promising — but they are achieved with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approximately 5 simultaneous prayers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on the map. Imagine the impact if visitors saw </w:t>
      </w: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hundreds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:</w:t>
      </w:r>
    </w:p>
    <w:p w14:paraId="5C71BACD" w14:textId="77777777" w:rsidR="00697F87" w:rsidRPr="00D930AE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tbl>
      <w:tblPr>
        <w:tblW w:w="90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9"/>
        <w:gridCol w:w="3471"/>
        <w:gridCol w:w="3210"/>
      </w:tblGrid>
      <w:tr w:rsidR="00D930AE" w:rsidRPr="00D930AE" w14:paraId="43C0A6F6" w14:textId="77777777"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5159F9E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Concurrent Prayers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992059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Visitor Perception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7B0021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Effect on AIN</w:t>
            </w:r>
          </w:p>
        </w:tc>
      </w:tr>
      <w:tr w:rsidR="00D930AE" w:rsidRPr="00D930AE" w14:paraId="489015AA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D21551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~5 (current)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88AF20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Modest activity — works, but doesn't wow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B32B46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Retention doubled (current state)</w:t>
            </w:r>
          </w:p>
        </w:tc>
      </w:tr>
      <w:tr w:rsidR="00D930AE" w:rsidRPr="00D930AE" w14:paraId="06529FA5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9BF08D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50–100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682A3D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"Real community is happening here"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2937E8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Stronger retention + increased sharing</w:t>
            </w:r>
          </w:p>
        </w:tc>
      </w:tr>
      <w:tr w:rsidR="00D930AE" w:rsidRPr="00D930AE" w14:paraId="6167FB1B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C320AF" w14:textId="77777777" w:rsidR="00D930AE" w:rsidRPr="00D930AE" w:rsidRDefault="00D930AE" w:rsidP="00D930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200–500+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C9A5B4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"The world is praying — I must join!"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E6B2D9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27AE60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27AE60"/>
                <w:kern w:val="0"/>
                <w:sz w:val="18"/>
                <w:szCs w:val="18"/>
                <w14:ligatures w14:val="none"/>
              </w:rPr>
              <w:t>Retention multiplier + viral growth</w:t>
            </w:r>
          </w:p>
        </w:tc>
      </w:tr>
    </w:tbl>
    <w:p w14:paraId="4461675E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6D193790" w14:textId="5C8337CB" w:rsidR="00D930AE" w:rsidRPr="00B8217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8"/>
          <w:szCs w:val="28"/>
          <w14:ligatures w14:val="none"/>
        </w:rPr>
      </w:pPr>
      <w:r w:rsidRPr="00B8217E">
        <w:rPr>
          <w:rFonts w:ascii="Arial" w:eastAsia="Times New Roman" w:hAnsi="Arial" w:cs="Arial"/>
          <w:color w:val="1A1A2E"/>
          <w:kern w:val="0"/>
          <w:sz w:val="28"/>
          <w:szCs w:val="28"/>
          <w:highlight w:val="yellow"/>
          <w14:ligatures w14:val="none"/>
        </w:rPr>
        <w:t xml:space="preserve">The retention lift we're seeing at concurrent </w:t>
      </w:r>
      <w:r w:rsidR="00697F87" w:rsidRPr="00B8217E">
        <w:rPr>
          <w:rFonts w:ascii="Arial" w:eastAsia="Times New Roman" w:hAnsi="Arial" w:cs="Arial"/>
          <w:color w:val="1A1A2E"/>
          <w:kern w:val="0"/>
          <w:sz w:val="28"/>
          <w:szCs w:val="28"/>
          <w:highlight w:val="yellow"/>
          <w14:ligatures w14:val="none"/>
        </w:rPr>
        <w:t xml:space="preserve">5 avarage </w:t>
      </w:r>
      <w:r w:rsidRPr="00B8217E">
        <w:rPr>
          <w:rFonts w:ascii="Arial" w:eastAsia="Times New Roman" w:hAnsi="Arial" w:cs="Arial"/>
          <w:color w:val="1A1A2E"/>
          <w:kern w:val="0"/>
          <w:sz w:val="28"/>
          <w:szCs w:val="28"/>
          <w:highlight w:val="yellow"/>
          <w14:ligatures w14:val="none"/>
        </w:rPr>
        <w:t>prayers is already remarkable. At 200+, the effect would compound: more prayers → more sharing → more AIN readers → more prayers. The current results prove the concept; proper funding would </w:t>
      </w:r>
      <w:r w:rsidRPr="00B8217E">
        <w:rPr>
          <w:rFonts w:ascii="Arial" w:eastAsia="Times New Roman" w:hAnsi="Arial" w:cs="Arial"/>
          <w:b/>
          <w:bCs/>
          <w:color w:val="1A1A2E"/>
          <w:kern w:val="0"/>
          <w:sz w:val="28"/>
          <w:szCs w:val="28"/>
          <w:highlight w:val="yellow"/>
          <w14:ligatures w14:val="none"/>
        </w:rPr>
        <w:t>unlock its full potential</w:t>
      </w:r>
      <w:r w:rsidRPr="00B8217E">
        <w:rPr>
          <w:rFonts w:ascii="Arial" w:eastAsia="Times New Roman" w:hAnsi="Arial" w:cs="Arial"/>
          <w:color w:val="1A1A2E"/>
          <w:kern w:val="0"/>
          <w:sz w:val="28"/>
          <w:szCs w:val="28"/>
          <w:highlight w:val="yellow"/>
          <w14:ligatures w14:val="none"/>
        </w:rPr>
        <w:t>.</w:t>
      </w:r>
    </w:p>
    <w:p w14:paraId="7B7579B5" w14:textId="77777777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4. The Solution: External Funding to Free Marketing &amp; Scale PFI</w:t>
      </w:r>
    </w:p>
    <w:p w14:paraId="64CB1242" w14:textId="77777777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We propose securing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dedicated external funding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from evangelical donors and foundations. This achieves two goals simultaneously:</w:t>
      </w:r>
    </w:p>
    <w:p w14:paraId="5A266B72" w14:textId="77777777" w:rsidR="00697F87" w:rsidRDefault="00697F87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9913EE">
        <w:rPr>
          <w:rFonts w:eastAsiaTheme="minorEastAsia"/>
          <w:sz w:val="22"/>
          <w:szCs w:val="22"/>
        </w:rPr>
        <w:drawing>
          <wp:inline distT="0" distB="0" distL="0" distR="0" wp14:anchorId="6CD394CE" wp14:editId="314C5E44">
            <wp:extent cx="6196804" cy="1656785"/>
            <wp:effectExtent l="0" t="0" r="1270" b="0"/>
            <wp:docPr id="5107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8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385" cy="16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8337" w14:textId="017AAC08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5. Fundraising Approach: A Proven Network</w:t>
      </w:r>
    </w:p>
    <w:p w14:paraId="2F65BA0F" w14:textId="77777777" w:rsid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I have identified a potential fundraising partner: a retired former director of a well-known Jerusalem-based Messianic school, with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decades of personal relationships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 xml:space="preserve"> with major evangelical donors across the US, 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lastRenderedPageBreak/>
        <w:t>Europe, and East Asia. She has extensive experience in traveling internationally for faith-based fundraising and has a proven track record of securing significant donations.</w:t>
      </w:r>
    </w:p>
    <w:p w14:paraId="65003E0D" w14:textId="77777777" w:rsidR="00697F87" w:rsidRPr="00D930AE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629B23A0" w14:textId="77777777" w:rsidR="00697F87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She has not yet committed, but based on our initial conversations,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I believe she would be open to participating under the right conditions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 xml:space="preserve">. </w:t>
      </w:r>
    </w:p>
    <w:p w14:paraId="015BCDF7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2AF75CA7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1634A9AD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6C9FAC8F" w14:textId="74B2906E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There are two possible models:</w:t>
      </w:r>
    </w:p>
    <w:p w14:paraId="1EA268ED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8D772C">
        <w:rPr>
          <w:rFonts w:asciiTheme="majorHAnsi" w:eastAsiaTheme="majorEastAsia" w:hAnsiTheme="majorHAnsi" w:cstheme="majorBidi"/>
          <w:b/>
          <w:bCs/>
          <w:color w:val="156082" w:themeColor="accent1"/>
        </w:rPr>
        <w:drawing>
          <wp:inline distT="0" distB="0" distL="0" distR="0" wp14:anchorId="7F6C974E" wp14:editId="336F6E2C">
            <wp:extent cx="5952448" cy="3014804"/>
            <wp:effectExtent l="0" t="0" r="4445" b="0"/>
            <wp:docPr id="16879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3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315" cy="308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AFEB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375AA220" w14:textId="57A0069E" w:rsid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Both options require AIN leadership's authorization and organizational support. The window is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time-sensitive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: as she disengages further from ministry circles, her personal network access naturally diminishes.</w:t>
      </w:r>
    </w:p>
    <w:p w14:paraId="4C268488" w14:textId="77777777" w:rsidR="00697F87" w:rsidRPr="00D930AE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2B0A7C78" w14:textId="77777777" w:rsidR="00D930AE" w:rsidRPr="00D930AE" w:rsidRDefault="00D930AE" w:rsidP="00D930AE">
      <w:pPr>
        <w:shd w:val="clear" w:color="auto" w:fill="0D1F35"/>
        <w:spacing w:after="120" w:line="240" w:lineRule="auto"/>
        <w:outlineLvl w:val="2"/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D4AF37"/>
          <w:kern w:val="0"/>
          <w:sz w:val="21"/>
          <w:szCs w:val="21"/>
          <w14:ligatures w14:val="none"/>
        </w:rPr>
        <w:t>The Ask — What We Need from Leadership</w:t>
      </w:r>
    </w:p>
    <w:p w14:paraId="1538ECCA" w14:textId="43E0BBD4" w:rsid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jc w:val="center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9913EE">
        <w:drawing>
          <wp:inline distT="0" distB="0" distL="0" distR="0" wp14:anchorId="1F928192" wp14:editId="50255CD7">
            <wp:extent cx="5862064" cy="2607398"/>
            <wp:effectExtent l="0" t="0" r="5715" b="0"/>
            <wp:docPr id="14399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3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795" cy="269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FB27" w14:textId="5453282B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lastRenderedPageBreak/>
        <w:t>6. Return on Investment</w:t>
      </w:r>
    </w:p>
    <w:tbl>
      <w:tblPr>
        <w:tblW w:w="90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2"/>
        <w:gridCol w:w="6568"/>
      </w:tblGrid>
      <w:tr w:rsidR="00D930AE" w:rsidRPr="00D930AE" w14:paraId="21FDBED8" w14:textId="77777777"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9C7DAB7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What AIN Invests</w:t>
            </w:r>
          </w:p>
        </w:tc>
        <w:tc>
          <w:tcPr>
            <w:tcW w:w="0" w:type="auto"/>
            <w:shd w:val="clear" w:color="auto" w:fill="0D1F3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31E71B9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kern w:val="0"/>
                <w:sz w:val="16"/>
                <w:szCs w:val="16"/>
                <w14:ligatures w14:val="none"/>
              </w:rPr>
              <w:t>What AIN Gets Back</w:t>
            </w:r>
          </w:p>
        </w:tc>
      </w:tr>
      <w:tr w:rsidR="00D930AE" w:rsidRPr="00D930AE" w14:paraId="6A937F2B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8F28E1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~$6,500 one-time seed cost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20135B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Access to $50K–$300K/yr external funding for PFI</w:t>
            </w:r>
          </w:p>
        </w:tc>
      </w:tr>
      <w:tr w:rsidR="00D930AE" w:rsidRPr="00D930AE" w14:paraId="4E7452CA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82913A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Organizational authorization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0A3A89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8"/>
                <w:szCs w:val="18"/>
                <w14:ligatures w14:val="none"/>
              </w:rPr>
              <w:t>Marketing budget freed up</w:t>
            </w: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 — ~$24K/yr returned to core marketing</w:t>
            </w:r>
          </w:p>
        </w:tc>
      </w:tr>
      <w:tr w:rsidR="00D930AE" w:rsidRPr="00D930AE" w14:paraId="4DC824D6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98F1FD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Brand permission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9FAFB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885240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A network of high-net-worth evangelical donors who now know AIN personally</w:t>
            </w:r>
          </w:p>
        </w:tc>
      </w:tr>
      <w:tr w:rsidR="00D930AE" w:rsidRPr="00D930AE" w14:paraId="3DAC4ED4" w14:textId="77777777"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39F971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Management oversight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231368" w14:textId="77777777" w:rsidR="00D930AE" w:rsidRPr="00D930AE" w:rsidRDefault="00D930AE" w:rsidP="00D930AE">
            <w:pPr>
              <w:spacing w:after="0" w:line="240" w:lineRule="auto"/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</w:pPr>
            <w:r w:rsidRPr="00D930AE">
              <w:rPr>
                <w:rFonts w:ascii="Arial" w:eastAsia="Times New Roman" w:hAnsi="Arial" w:cs="Arial"/>
                <w:color w:val="1A1A2E"/>
                <w:kern w:val="0"/>
                <w:sz w:val="18"/>
                <w:szCs w:val="18"/>
                <w14:ligatures w14:val="none"/>
              </w:rPr>
              <w:t>PFI at full potential: retention lift multiplied, unique AIN×PFI brand position cemented</w:t>
            </w:r>
          </w:p>
        </w:tc>
      </w:tr>
    </w:tbl>
    <w:p w14:paraId="1AA2154D" w14:textId="77777777" w:rsidR="00697F87" w:rsidRDefault="00697F87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1658F0E3" w14:textId="7CB72F64" w:rsidR="00D930AE" w:rsidRPr="00D930AE" w:rsidRDefault="00D930AE" w:rsidP="00D930A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Conservative retention math (est. 400K monthly uniques): the current PFI integration adds approximately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3,600 additional loyal readers per month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(Week 4 retention: 0.6% → 1.5%). At even $5/year average lifetime value, that represents </w:t>
      </w: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~$216K/year in additional reader value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. Scaling PFI would multiply this figure further.</w:t>
      </w:r>
    </w:p>
    <w:p w14:paraId="6D1DEE15" w14:textId="77777777" w:rsidR="00D930AE" w:rsidRPr="00D930AE" w:rsidRDefault="00D930AE" w:rsidP="00D930AE">
      <w:pPr>
        <w:pBdr>
          <w:bottom w:val="single" w:sz="8" w:space="2" w:color="D4AF37"/>
        </w:pBdr>
        <w:shd w:val="clear" w:color="auto" w:fill="FFFFFF"/>
        <w:spacing w:before="300" w:after="105" w:line="240" w:lineRule="auto"/>
        <w:outlineLvl w:val="1"/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0D1F35"/>
          <w:kern w:val="0"/>
          <w:sz w:val="23"/>
          <w:szCs w:val="23"/>
          <w14:ligatures w14:val="none"/>
        </w:rPr>
        <w:t>7. Why Now</w:t>
      </w:r>
    </w:p>
    <w:p w14:paraId="30438F9F" w14:textId="77777777" w:rsidR="00D930AE" w:rsidRPr="00D930AE" w:rsidRDefault="00D930AE" w:rsidP="00D930AE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The data is in.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We have 5 weeks of GA4 proof that PFI integration works. The longer we wait to scale, the more potential we leave unrealized.</w:t>
      </w:r>
    </w:p>
    <w:p w14:paraId="2AE98122" w14:textId="77777777" w:rsidR="00D930AE" w:rsidRPr="00D930AE" w:rsidRDefault="00D930AE" w:rsidP="00D930AE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The marketing budget needs relief.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Every month PFI runs on marketing's allocation is a month where AIN's other growth levers are unfunded.</w:t>
      </w:r>
    </w:p>
    <w:p w14:paraId="5B0BBBEF" w14:textId="77777777" w:rsidR="00D930AE" w:rsidRPr="00D930AE" w:rsidRDefault="00D930AE" w:rsidP="00D930AE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The fundraising partner window is closing.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Retirement networks erode — her connections are most accessible now, not in a year.</w:t>
      </w:r>
    </w:p>
    <w:p w14:paraId="6C359DB5" w14:textId="77777777" w:rsidR="00D930AE" w:rsidRDefault="00D930AE" w:rsidP="00D930AE">
      <w:pPr>
        <w:numPr>
          <w:ilvl w:val="0"/>
          <w:numId w:val="4"/>
        </w:num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b/>
          <w:bCs/>
          <w:color w:val="1A1A2E"/>
          <w:kern w:val="0"/>
          <w:sz w:val="20"/>
          <w:szCs w:val="20"/>
          <w14:ligatures w14:val="none"/>
        </w:rPr>
        <w:t>The AIN×PFI brand is unique.</w:t>
      </w:r>
      <w:r w:rsidRPr="00D930AE"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  <w:t> No one else has this. But "unique" only matters if we scale it before someone imitates it.</w:t>
      </w:r>
    </w:p>
    <w:p w14:paraId="1D423DD8" w14:textId="77777777" w:rsidR="00D930AE" w:rsidRPr="00D930AE" w:rsidRDefault="00D930AE" w:rsidP="00D930AE">
      <w:pPr>
        <w:shd w:val="clear" w:color="auto" w:fill="FFFFFF"/>
        <w:spacing w:after="0" w:line="240" w:lineRule="auto"/>
        <w:ind w:left="960"/>
        <w:jc w:val="both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6324EAAA" w14:textId="4FEFBFAA" w:rsidR="00D930AE" w:rsidRDefault="00D930AE" w:rsidP="00D930AE">
      <w:pPr>
        <w:shd w:val="clear" w:color="auto" w:fill="FDF8EC"/>
        <w:spacing w:after="0" w:line="240" w:lineRule="auto"/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</w:pPr>
      <w:r w:rsidRPr="00D930AE">
        <w:rPr>
          <w:rFonts w:ascii="Arial" w:eastAsia="Times New Roman" w:hAnsi="Arial" w:cs="Arial"/>
          <w:i/>
          <w:iCs/>
          <w:color w:val="1A1A2E"/>
          <w:kern w:val="0"/>
          <w:sz w:val="20"/>
          <w:szCs w:val="20"/>
          <w14:ligatures w14:val="none"/>
        </w:rPr>
        <w:t>"The integration works. The data proves it. Now the question is: do we keep it at survival level — or do we fund it to reach its God-given potential, with money that comes from outside our walls?</w:t>
      </w:r>
    </w:p>
    <w:p w14:paraId="4D2CDA4D" w14:textId="77777777" w:rsidR="00B8217E" w:rsidRPr="00D930AE" w:rsidRDefault="00B8217E" w:rsidP="00D930AE">
      <w:pPr>
        <w:shd w:val="clear" w:color="auto" w:fill="FDF8EC"/>
        <w:spacing w:after="0" w:line="240" w:lineRule="auto"/>
        <w:rPr>
          <w:rFonts w:ascii="Arial" w:eastAsia="Times New Roman" w:hAnsi="Arial" w:cs="Arial"/>
          <w:color w:val="1A1A2E"/>
          <w:kern w:val="0"/>
          <w:sz w:val="20"/>
          <w:szCs w:val="20"/>
          <w14:ligatures w14:val="none"/>
        </w:rPr>
      </w:pPr>
    </w:p>
    <w:p w14:paraId="5B9D6C86" w14:textId="588E9EFA" w:rsidR="00D930AE" w:rsidRDefault="00697F87" w:rsidP="00697F87">
      <w:pPr>
        <w:jc w:val="center"/>
      </w:pPr>
      <w:r w:rsidRPr="009913EE">
        <w:rPr>
          <w:b/>
          <w:bCs/>
        </w:rPr>
        <w:drawing>
          <wp:inline distT="0" distB="0" distL="0" distR="0" wp14:anchorId="7275B3F6" wp14:editId="2885C7B9">
            <wp:extent cx="5486400" cy="1118870"/>
            <wp:effectExtent l="0" t="0" r="0" b="0"/>
            <wp:docPr id="9993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278B"/>
    <w:multiLevelType w:val="multilevel"/>
    <w:tmpl w:val="57F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27770"/>
    <w:multiLevelType w:val="multilevel"/>
    <w:tmpl w:val="9C1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273C1"/>
    <w:multiLevelType w:val="multilevel"/>
    <w:tmpl w:val="05B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722AD"/>
    <w:multiLevelType w:val="multilevel"/>
    <w:tmpl w:val="125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13670">
    <w:abstractNumId w:val="0"/>
  </w:num>
  <w:num w:numId="2" w16cid:durableId="130178971">
    <w:abstractNumId w:val="1"/>
  </w:num>
  <w:num w:numId="3" w16cid:durableId="773592782">
    <w:abstractNumId w:val="3"/>
  </w:num>
  <w:num w:numId="4" w16cid:durableId="1711104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AE"/>
    <w:rsid w:val="000F656A"/>
    <w:rsid w:val="00302A39"/>
    <w:rsid w:val="00697F87"/>
    <w:rsid w:val="0094106D"/>
    <w:rsid w:val="00AA76B1"/>
    <w:rsid w:val="00B63A1D"/>
    <w:rsid w:val="00B8217E"/>
    <w:rsid w:val="00D930AE"/>
    <w:rsid w:val="00E651FB"/>
    <w:rsid w:val="00F4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2B44A"/>
  <w15:chartTrackingRefBased/>
  <w15:docId w15:val="{CD1356D2-42AB-ED4F-8971-DB759B9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3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30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3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930AE"/>
    <w:rPr>
      <w:i/>
      <w:iCs/>
    </w:rPr>
  </w:style>
  <w:style w:type="character" w:customStyle="1" w:styleId="plus">
    <w:name w:val="plus"/>
    <w:basedOn w:val="DefaultParagraphFont"/>
    <w:rsid w:val="00D930AE"/>
  </w:style>
  <w:style w:type="character" w:customStyle="1" w:styleId="eq">
    <w:name w:val="eq"/>
    <w:basedOn w:val="DefaultParagraphFont"/>
    <w:rsid w:val="00D930AE"/>
  </w:style>
  <w:style w:type="character" w:customStyle="1" w:styleId="badge">
    <w:name w:val="badge"/>
    <w:basedOn w:val="DefaultParagraphFont"/>
    <w:rsid w:val="00D93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 Frank</dc:creator>
  <cp:keywords/>
  <dc:description/>
  <cp:lastModifiedBy>Yehuda  Frank</cp:lastModifiedBy>
  <cp:revision>4</cp:revision>
  <dcterms:created xsi:type="dcterms:W3CDTF">2026-06-24T08:53:00Z</dcterms:created>
  <dcterms:modified xsi:type="dcterms:W3CDTF">2026-06-24T09:21:00Z</dcterms:modified>
</cp:coreProperties>
</file>