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Changes in Locus of Control Orientation Across College Major Pathways</w:t>
      </w:r>
    </w:p>
    <w:p>
      <w:pPr>
        <w:pStyle w:val="Author"/>
      </w:pPr>
      <w:r>
        <w:t xml:space="preserve">Varsha Venkatesh</w:t>
      </w:r>
      <w:r>
        <w:rPr>
          <w:vertAlign w:val="superscript"/>
        </w:rPr>
        <w:t xml:space="preserve">1</w:t>
      </w:r>
      <w:r>
        <w:t xml:space="preserve"> &amp; Moin Syed</w:t>
      </w:r>
      <w:r>
        <w:rPr>
          <w:vertAlign w:val="superscript"/>
        </w:rPr>
        <w:t xml:space="preserve">1</w:t>
      </w:r>
    </w:p>
    <w:p>
      <w:pPr>
        <w:pStyle w:val="Author"/>
      </w:pPr>
      <w:r>
        <w:rPr>
          <w:vertAlign w:val="superscript"/>
        </w:rPr>
        <w:t xml:space="preserve">1</w:t>
      </w:r>
      <w:r>
        <w:t xml:space="preserve"> </w:t>
      </w:r>
      <w:r>
        <w:t xml:space="preserve">University of Minnesota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The authors made the following contributions. Varsha Venkatesh: Conceptualization, Writing - Original Draft Preparation, Writing - Review &amp; Editing; Moin Syed: Writing - Review &amp; Editing, Supervision.</w:t>
      </w:r>
    </w:p>
    <w:p>
      <w:pPr>
        <w:pStyle w:val="authornote"/>
      </w:pPr>
      <w:r>
        <w:t xml:space="preserve">Correspondence concerning this article should be addressed to Varsha Venkatesh, 75 E River Pkwy, Minneapolis, MN 55455. E-mail:</w:t>
      </w:r>
      <w:r>
        <w:t xml:space="preserve"> </w:t>
      </w:r>
      <w:hyperlink r:id="rId20">
        <w:r>
          <w:rPr>
            <w:rStyle w:val="Hyperlink"/>
          </w:rPr>
          <w:t xml:space="preserve">venka288@umn.edu</w:t>
        </w:r>
      </w:hyperlink>
    </w:p>
    <w:p>
      <w:pPr>
        <w:pStyle w:val="h1-pagebreak"/>
      </w:pPr>
      <w:r>
        <w:t xml:space="preserve">Abstract</w:t>
      </w:r>
    </w:p>
    <w:p>
      <w:pPr>
        <w:pStyle w:val="Textkrper"/>
      </w:pPr>
      <w:r>
        <w:t xml:space="preserve">Choosing a college major is among the most important and difficult decisions that a student makes in their career. The present study seeks to better understand how feelings of control and agency can impact this choice. In particular, we do so by examining how locus of control changes among undergraduate students over the course of the first two years of college and how these patterns vary across different major pathways. The current student expands upon past research in three major ways. Firstly, previous studies of college student major choice more broadly compare undecided and decided students as opposed to narrower paths toward college major choice. Secondly, most previous studies of major choice examine group differences at one timepoint, rather than longitudinally. Finally, while locus of control has been extensively studied, there is a dearth of research on how locus of control changes over time, particularly among undergraduate students. Based on past studies of locus of control and decision-making as well as Baxter Magolda’s theory of self-authorship, we hypothesized that across the five major pathways measured in this study (uncertain, discovery, redirect, solidification, and certain), we would observe varied longitudinal patterns of locus of control.</w:t>
      </w:r>
    </w:p>
    <w:p>
      <w:pPr>
        <w:pStyle w:val="Textkrper"/>
      </w:pPr>
      <w:r>
        <w:rPr>
          <w:i/>
          <w:iCs/>
        </w:rPr>
        <w:t xml:space="preserve">Keywords:</w:t>
      </w:r>
      <w:r>
        <w:t xml:space="preserve"> </w:t>
      </w:r>
      <w:r>
        <w:t xml:space="preserve">College major choice, undergraduate students, locus of control, self-authorship</w:t>
      </w:r>
    </w:p>
    <w:p>
      <w:pPr>
        <w:pStyle w:val="Textkrper"/>
      </w:pPr>
      <w:r>
        <w:rPr>
          <w:i/>
          <w:iCs/>
        </w:rPr>
        <w:t xml:space="preserve">Word count:</w:t>
      </w:r>
      <w:r>
        <w:t xml:space="preserve"> </w:t>
      </w:r>
      <w:r>
        <w:t xml:space="preserve">542</w:t>
      </w:r>
    </w:p>
    <w:p>
      <w:pPr>
        <w:pStyle w:val="h1-pagebreak"/>
      </w:pPr>
      <w:r>
        <w:t xml:space="preserve">Changes in Locus of Control Orientation Across College Major Pathways</w:t>
      </w:r>
    </w:p>
    <w:bookmarkStart w:id="21" w:name="participants-and-procedure"/>
    <w:p>
      <w:pPr>
        <w:pStyle w:val="berschrift2"/>
      </w:pPr>
      <w:r>
        <w:t xml:space="preserve">Participants and Procedure</w:t>
      </w:r>
    </w:p>
    <w:p>
      <w:pPr>
        <w:pStyle w:val="FirstParagraph"/>
      </w:pPr>
      <w:r>
        <w:t xml:space="preserve">Participants were 92 undergraduate students enrolled at a large, public university in the United States. They ranged in age from NA to NA years old (</w:t>
      </w:r>
      <w:r>
        <w:rPr>
          <w:i/>
          <w:iCs/>
        </w:rPr>
        <w:t xml:space="preserve">M</w:t>
      </w:r>
      <w:r>
        <w:t xml:space="preserve"> </w:t>
      </w:r>
      <w:r>
        <w:t xml:space="preserve">= NA,</w:t>
      </w:r>
      <w:r>
        <w:t xml:space="preserve"> </w:t>
      </w:r>
      <w:r>
        <w:rPr>
          <w:i/>
          <w:iCs/>
        </w:rPr>
        <w:t xml:space="preserve">SD</w:t>
      </w:r>
      <w:r>
        <w:t xml:space="preserve"> </w:t>
      </w:r>
      <w:r>
        <w:t xml:space="preserve">= NA). The majority of participants identified as Asian/Pacific Islander (59.78%) and NA (NA%). Additionally, the majority (69.57%) of participants were born in the United States. A detailed summary of participant demographics is available in Table 1.</w:t>
      </w:r>
    </w:p>
    <w:p>
      <w:pPr>
        <w:pStyle w:val="SourceCode"/>
      </w:pPr>
      <w:r>
        <w:rPr>
          <w:rStyle w:val="VerbatimChar"/>
        </w:rPr>
        <w:t xml:space="preserve">## [1] 92</w:t>
      </w:r>
    </w:p>
    <w:p>
      <w:pPr>
        <w:pStyle w:val="SourceCode"/>
      </w:pPr>
      <w:r>
        <w:rPr>
          <w:rStyle w:val="VerbatimChar"/>
        </w:rPr>
        <w:t xml:space="preserve">## [1] 18.15385</w:t>
      </w:r>
    </w:p>
    <w:p>
      <w:pPr>
        <w:pStyle w:val="SourceCode"/>
      </w:pPr>
      <w:r>
        <w:rPr>
          <w:rStyle w:val="VerbatimChar"/>
        </w:rPr>
        <w:t xml:space="preserve">## [1] 1.074172</w:t>
      </w:r>
    </w:p>
    <w:p>
      <w:pPr>
        <w:pStyle w:val="SourceCode"/>
      </w:pPr>
      <w:r>
        <w:rPr>
          <w:rStyle w:val="VerbatimChar"/>
        </w:rPr>
        <w:t xml:space="preserve">## [1] 16 26</w:t>
      </w:r>
    </w:p>
    <w:p>
      <w:pPr>
        <w:pStyle w:val="TableCaption"/>
      </w:pPr>
      <w:r>
        <w:t xml:space="preserve">(#tab:descriptive table)</w:t>
      </w:r>
      <w:r>
        <w:t xml:space="preserve"> </w:t>
      </w:r>
      <w:r>
        <w:br/>
      </w:r>
      <w:r>
        <w:rPr>
          <w:i/>
          <w:iCs/>
        </w:rPr>
        <w:t xml:space="preserve"> </w:t>
      </w:r>
      <w:r>
        <w:rPr>
          <w:i/>
          <w:iCs/>
        </w:rPr>
        <w:t xml:space="preserve">Characteristics</w:t>
      </w:r>
      <w:r>
        <w:rPr>
          <w:i/>
          <w:iCs/>
        </w:rPr>
        <w:t xml:space="preserve"> </w:t>
      </w:r>
      <w:r>
        <w:rPr>
          <w:i/>
          <w:iCs/>
        </w:rPr>
        <w:t xml:space="preserve">of</w:t>
      </w:r>
      <w:r>
        <w:rPr>
          <w:i/>
          <w:iCs/>
        </w:rPr>
        <w:t xml:space="preserve"> </w:t>
      </w:r>
      <w:r>
        <w:rPr>
          <w:i/>
          <w:iCs/>
        </w:rPr>
        <w:t xml:space="preserve">Participants</w:t>
      </w:r>
    </w:p>
    <w:tbl>
      <w:tblPr>
        <w:tblStyle w:val="Table"/>
        <w:tblW w:type="auto" w:w="0"/>
        <w:tblLook w:firstRow="1" w:lastRow="0" w:firstColumn="0" w:lastColumn="0" w:noHBand="0" w:noVBand="0" w:val="0020"/>
        <w:tblCaption w:val="(#tab:descriptive table)   Characteristics of Participants"/>
      </w:tblPr>
      <w:tblGrid>
        <w:gridCol w:w="2640"/>
        <w:gridCol w:w="2640"/>
        <w:gridCol w:w="2640"/>
      </w:tblGrid>
      <w:tr>
        <w:trPr>
          <w:tblHeader w:val="on"/>
        </w:trPr>
        <w:tc>
          <w:tcPr/>
          <w:p>
            <w:pPr>
              <w:pStyle w:val="Compact"/>
              <w:jc w:val="center"/>
            </w:pPr>
            <w:r>
              <w:t xml:space="preserve">Characteristic</w:t>
            </w:r>
          </w:p>
        </w:tc>
        <w:tc>
          <w:tcPr/>
          <w:p>
            <w:pPr>
              <w:pStyle w:val="Compact"/>
              <w:jc w:val="center"/>
            </w:pPr>
            <w:r>
              <w:t xml:space="preserve">n</w:t>
            </w:r>
          </w:p>
        </w:tc>
        <w:tc>
          <w:tcPr/>
          <w:p>
            <w:pPr>
              <w:pStyle w:val="Compact"/>
              <w:jc w:val="center"/>
            </w:pPr>
            <w:r>
              <w:t xml:space="preserve">%</w:t>
            </w:r>
          </w:p>
        </w:tc>
      </w:tr>
      <w:tr>
        <w:tc>
          <w:tcPr/>
          <w:p>
            <w:pPr>
              <w:pStyle w:val="Compact"/>
              <w:jc w:val="center"/>
            </w:pPr>
            <w:r>
              <w:t xml:space="preserve">Gender</w:t>
            </w:r>
          </w:p>
        </w:tc>
        <w:tc>
          <w:tcPr/>
          <w:p>
            <w:pPr>
              <w:pStyle w:val="Compact"/>
            </w:pPr>
          </w:p>
        </w:tc>
        <w:tc>
          <w:tcPr/>
          <w:p>
            <w:pPr>
              <w:pStyle w:val="Compact"/>
            </w:pPr>
          </w:p>
        </w:tc>
      </w:tr>
      <w:tr>
        <w:tc>
          <w:tcPr/>
          <w:p>
            <w:pPr>
              <w:pStyle w:val="Compact"/>
              <w:jc w:val="center"/>
            </w:pPr>
            <w:r>
              <w:t xml:space="preserve">     Male</w:t>
            </w:r>
          </w:p>
        </w:tc>
        <w:tc>
          <w:tcPr/>
          <w:p>
            <w:pPr>
              <w:pStyle w:val="Compact"/>
              <w:jc w:val="center"/>
            </w:pPr>
            <w:r>
              <w:t xml:space="preserve">22</w:t>
            </w:r>
          </w:p>
        </w:tc>
        <w:tc>
          <w:tcPr/>
          <w:p>
            <w:pPr>
              <w:pStyle w:val="Compact"/>
              <w:jc w:val="center"/>
            </w:pPr>
            <w:r>
              <w:t xml:space="preserve">23.91</w:t>
            </w:r>
          </w:p>
        </w:tc>
      </w:tr>
      <w:tr>
        <w:tc>
          <w:tcPr/>
          <w:p>
            <w:pPr>
              <w:pStyle w:val="Compact"/>
              <w:jc w:val="center"/>
            </w:pPr>
            <w:r>
              <w:t xml:space="preserve">     Female</w:t>
            </w:r>
          </w:p>
        </w:tc>
        <w:tc>
          <w:tcPr/>
          <w:p>
            <w:pPr>
              <w:pStyle w:val="Compact"/>
              <w:jc w:val="center"/>
            </w:pPr>
            <w:r>
              <w:t xml:space="preserve">69</w:t>
            </w:r>
          </w:p>
        </w:tc>
        <w:tc>
          <w:tcPr/>
          <w:p>
            <w:pPr>
              <w:pStyle w:val="Compact"/>
              <w:jc w:val="center"/>
            </w:pPr>
            <w:r>
              <w:t xml:space="preserve">75</w:t>
            </w:r>
          </w:p>
        </w:tc>
      </w:tr>
      <w:tr>
        <w:tc>
          <w:tcPr/>
          <w:p>
            <w:pPr>
              <w:pStyle w:val="Compact"/>
              <w:jc w:val="center"/>
            </w:pPr>
            <w:r>
              <w:t xml:space="preserve">     Uncategorized</w:t>
            </w:r>
          </w:p>
        </w:tc>
        <w:tc>
          <w:tcPr/>
          <w:p>
            <w:pPr>
              <w:pStyle w:val="Compact"/>
              <w:jc w:val="center"/>
            </w:pPr>
            <w:r>
              <w:t xml:space="preserve">1</w:t>
            </w:r>
          </w:p>
        </w:tc>
        <w:tc>
          <w:tcPr/>
          <w:p>
            <w:pPr>
              <w:pStyle w:val="Compact"/>
              <w:jc w:val="center"/>
            </w:pPr>
            <w:r>
              <w:t xml:space="preserve">1.09</w:t>
            </w:r>
          </w:p>
        </w:tc>
      </w:tr>
      <w:tr>
        <w:tc>
          <w:tcPr/>
          <w:p>
            <w:pPr>
              <w:pStyle w:val="Compact"/>
              <w:jc w:val="center"/>
            </w:pPr>
            <w:r>
              <w:t xml:space="preserve">Race</w:t>
            </w:r>
          </w:p>
        </w:tc>
        <w:tc>
          <w:tcPr/>
          <w:p>
            <w:pPr>
              <w:pStyle w:val="Compact"/>
            </w:pPr>
          </w:p>
        </w:tc>
        <w:tc>
          <w:tcPr/>
          <w:p>
            <w:pPr>
              <w:pStyle w:val="Compact"/>
            </w:pPr>
          </w:p>
        </w:tc>
      </w:tr>
      <w:tr>
        <w:tc>
          <w:tcPr/>
          <w:p>
            <w:pPr>
              <w:pStyle w:val="Compact"/>
              <w:jc w:val="center"/>
            </w:pPr>
            <w:r>
              <w:t xml:space="preserve">     Asian/Pacific Islander</w:t>
            </w:r>
          </w:p>
        </w:tc>
        <w:tc>
          <w:tcPr/>
          <w:p>
            <w:pPr>
              <w:pStyle w:val="Compact"/>
              <w:jc w:val="center"/>
            </w:pPr>
            <w:r>
              <w:t xml:space="preserve">55</w:t>
            </w:r>
          </w:p>
        </w:tc>
        <w:tc>
          <w:tcPr/>
          <w:p>
            <w:pPr>
              <w:pStyle w:val="Compact"/>
              <w:jc w:val="center"/>
            </w:pPr>
            <w:r>
              <w:t xml:space="preserve">59.78</w:t>
            </w:r>
          </w:p>
        </w:tc>
      </w:tr>
      <w:tr>
        <w:tc>
          <w:tcPr/>
          <w:p>
            <w:pPr>
              <w:pStyle w:val="Compact"/>
              <w:jc w:val="center"/>
            </w:pPr>
            <w:r>
              <w:t xml:space="preserve">     Black/African American</w:t>
            </w:r>
          </w:p>
        </w:tc>
        <w:tc>
          <w:tcPr/>
          <w:p>
            <w:pPr>
              <w:pStyle w:val="Compact"/>
              <w:jc w:val="center"/>
            </w:pPr>
            <w:r>
              <w:t xml:space="preserve">17</w:t>
            </w:r>
          </w:p>
        </w:tc>
        <w:tc>
          <w:tcPr/>
          <w:p>
            <w:pPr>
              <w:pStyle w:val="Compact"/>
              <w:jc w:val="center"/>
            </w:pPr>
            <w:r>
              <w:t xml:space="preserve">18.48</w:t>
            </w:r>
          </w:p>
        </w:tc>
      </w:tr>
      <w:tr>
        <w:tc>
          <w:tcPr/>
          <w:p>
            <w:pPr>
              <w:pStyle w:val="Compact"/>
              <w:jc w:val="center"/>
            </w:pPr>
            <w:r>
              <w:t xml:space="preserve">     Hispanic/Latine</w:t>
            </w:r>
          </w:p>
        </w:tc>
        <w:tc>
          <w:tcPr/>
          <w:p>
            <w:pPr>
              <w:pStyle w:val="Compact"/>
              <w:jc w:val="center"/>
            </w:pPr>
            <w:r>
              <w:t xml:space="preserve">8</w:t>
            </w:r>
          </w:p>
        </w:tc>
        <w:tc>
          <w:tcPr/>
          <w:p>
            <w:pPr>
              <w:pStyle w:val="Compact"/>
              <w:jc w:val="center"/>
            </w:pPr>
            <w:r>
              <w:t xml:space="preserve">8.7</w:t>
            </w:r>
          </w:p>
        </w:tc>
      </w:tr>
      <w:tr>
        <w:tc>
          <w:tcPr/>
          <w:p>
            <w:pPr>
              <w:pStyle w:val="Compact"/>
              <w:jc w:val="center"/>
            </w:pPr>
            <w:r>
              <w:t xml:space="preserve">     Multiracial</w:t>
            </w:r>
          </w:p>
        </w:tc>
        <w:tc>
          <w:tcPr/>
          <w:p>
            <w:pPr>
              <w:pStyle w:val="Compact"/>
              <w:jc w:val="center"/>
            </w:pPr>
            <w:r>
              <w:t xml:space="preserve">2</w:t>
            </w:r>
          </w:p>
        </w:tc>
        <w:tc>
          <w:tcPr/>
          <w:p>
            <w:pPr>
              <w:pStyle w:val="Compact"/>
              <w:jc w:val="center"/>
            </w:pPr>
            <w:r>
              <w:t xml:space="preserve">2.17</w:t>
            </w:r>
          </w:p>
        </w:tc>
      </w:tr>
      <w:tr>
        <w:tc>
          <w:tcPr/>
          <w:p>
            <w:pPr>
              <w:pStyle w:val="Compact"/>
              <w:jc w:val="center"/>
            </w:pPr>
            <w:r>
              <w:t xml:space="preserve">     Native American</w:t>
            </w:r>
          </w:p>
        </w:tc>
        <w:tc>
          <w:tcPr/>
          <w:p>
            <w:pPr>
              <w:pStyle w:val="Compact"/>
              <w:jc w:val="center"/>
            </w:pPr>
            <w:r>
              <w:t xml:space="preserve">1</w:t>
            </w:r>
          </w:p>
        </w:tc>
        <w:tc>
          <w:tcPr/>
          <w:p>
            <w:pPr>
              <w:pStyle w:val="Compact"/>
              <w:jc w:val="center"/>
            </w:pPr>
            <w:r>
              <w:t xml:space="preserve">1.09</w:t>
            </w:r>
          </w:p>
        </w:tc>
      </w:tr>
      <w:tr>
        <w:tc>
          <w:tcPr/>
          <w:p>
            <w:pPr>
              <w:pStyle w:val="Compact"/>
              <w:jc w:val="center"/>
            </w:pPr>
            <w:r>
              <w:t xml:space="preserve">     White/European American</w:t>
            </w:r>
          </w:p>
        </w:tc>
        <w:tc>
          <w:tcPr/>
          <w:p>
            <w:pPr>
              <w:pStyle w:val="Compact"/>
              <w:jc w:val="center"/>
            </w:pPr>
            <w:r>
              <w:t xml:space="preserve">2</w:t>
            </w:r>
          </w:p>
        </w:tc>
        <w:tc>
          <w:tcPr/>
          <w:p>
            <w:pPr>
              <w:pStyle w:val="Compact"/>
              <w:jc w:val="center"/>
            </w:pPr>
            <w:r>
              <w:t xml:space="preserve">2.17</w:t>
            </w:r>
          </w:p>
        </w:tc>
      </w:tr>
      <w:tr>
        <w:tc>
          <w:tcPr/>
          <w:p>
            <w:pPr>
              <w:pStyle w:val="Compact"/>
              <w:jc w:val="center"/>
            </w:pPr>
            <w:r>
              <w:t xml:space="preserve">     Other</w:t>
            </w:r>
          </w:p>
        </w:tc>
        <w:tc>
          <w:tcPr/>
          <w:p>
            <w:pPr>
              <w:pStyle w:val="Compact"/>
              <w:jc w:val="center"/>
            </w:pPr>
            <w:r>
              <w:t xml:space="preserve">7</w:t>
            </w:r>
          </w:p>
        </w:tc>
        <w:tc>
          <w:tcPr/>
          <w:p>
            <w:pPr>
              <w:pStyle w:val="Compact"/>
              <w:jc w:val="center"/>
            </w:pPr>
            <w:r>
              <w:t xml:space="preserve">7.61</w:t>
            </w:r>
          </w:p>
        </w:tc>
      </w:tr>
      <w:tr>
        <w:tc>
          <w:tcPr/>
          <w:p>
            <w:pPr>
              <w:pStyle w:val="Compact"/>
              <w:jc w:val="center"/>
            </w:pPr>
            <w:r>
              <w:t xml:space="preserve">Birthplace</w:t>
            </w:r>
          </w:p>
        </w:tc>
        <w:tc>
          <w:tcPr/>
          <w:p>
            <w:pPr>
              <w:pStyle w:val="Compact"/>
            </w:pPr>
          </w:p>
        </w:tc>
        <w:tc>
          <w:tcPr/>
          <w:p>
            <w:pPr>
              <w:pStyle w:val="Compact"/>
            </w:pPr>
          </w:p>
        </w:tc>
      </w:tr>
      <w:tr>
        <w:tc>
          <w:tcPr/>
          <w:p>
            <w:pPr>
              <w:pStyle w:val="Compact"/>
              <w:jc w:val="center"/>
            </w:pPr>
            <w:r>
              <w:t xml:space="preserve">     Born in the US</w:t>
            </w:r>
          </w:p>
        </w:tc>
        <w:tc>
          <w:tcPr/>
          <w:p>
            <w:pPr>
              <w:pStyle w:val="Compact"/>
              <w:jc w:val="center"/>
            </w:pPr>
            <w:r>
              <w:t xml:space="preserve">28</w:t>
            </w:r>
          </w:p>
        </w:tc>
        <w:tc>
          <w:tcPr/>
          <w:p>
            <w:pPr>
              <w:pStyle w:val="Compact"/>
              <w:jc w:val="center"/>
            </w:pPr>
            <w:r>
              <w:t xml:space="preserve">30.43</w:t>
            </w:r>
          </w:p>
        </w:tc>
      </w:tr>
      <w:tr>
        <w:tc>
          <w:tcPr/>
          <w:p>
            <w:pPr>
              <w:pStyle w:val="Compact"/>
              <w:jc w:val="center"/>
            </w:pPr>
            <w:r>
              <w:t xml:space="preserve">     Not Born in the US</w:t>
            </w:r>
          </w:p>
        </w:tc>
        <w:tc>
          <w:tcPr/>
          <w:p>
            <w:pPr>
              <w:pStyle w:val="Compact"/>
              <w:jc w:val="center"/>
            </w:pPr>
            <w:r>
              <w:t xml:space="preserve">64</w:t>
            </w:r>
          </w:p>
        </w:tc>
        <w:tc>
          <w:tcPr/>
          <w:p>
            <w:pPr>
              <w:pStyle w:val="Compact"/>
              <w:jc w:val="center"/>
            </w:pPr>
            <w:r>
              <w:t xml:space="preserve">69.57</w:t>
            </w:r>
          </w:p>
        </w:tc>
      </w:tr>
    </w:tbl>
    <w:p>
      <w:pPr>
        <w:pStyle w:val="table-note"/>
      </w:pPr>
      <w:r>
        <w:rPr>
          <w:i/>
          <w:iCs/>
        </w:rPr>
        <w:t xml:space="preserve">Note.</w:t>
      </w:r>
      <w:r>
        <w:t xml:space="preserve"> </w:t>
      </w:r>
      <w:r>
        <w:t xml:space="preserve">N = 92. Participants were 18.15 years old on average (SD = 1.07)</w:t>
      </w:r>
    </w:p>
    <w:p>
      <w:pPr>
        <w:pStyle w:val="Textkrper"/>
      </w:pPr>
      <w:r>
        <w:t xml:space="preserve"> </w:t>
      </w:r>
    </w:p>
    <w:bookmarkEnd w:id="2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LOCUS OF CONTROL AND MAJOR PATHWAYS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LOCUS OF CONTROL AND MAJOR PATHWAYS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hyperlink" Id="rId20" Target="mailto:venka288@umn.edu" TargetMode="External" /></Relationships>
</file>

<file path=word/_rels/footnotes.xml.rels><?xml version="1.0" encoding="UTF-8"?><Relationships xmlns="http://schemas.openxmlformats.org/package/2006/relationships"><Relationship Type="http://schemas.openxmlformats.org/officeDocument/2006/relationships/hyperlink" Id="rId20" Target="mailto:venka288@um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Changes in Locus of Control Orientation Across College Major Pathways</dc:title>
  <dc:creator/>
  <cp:keywords/>
  <dcterms:created xsi:type="dcterms:W3CDTF">2026-04-01T15:16:14Z</dcterms:created>
  <dcterms:modified xsi:type="dcterms:W3CDTF">2026-04-01T15:16:14Z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
  </property>
  <property fmtid="{D5CDD505-2E9C-101B-9397-08002B2CF9AE}" pid="5" name="classoption">
    <vt:lpwstr>man</vt:lpwstr>
  </property>
  <property fmtid="{D5CDD505-2E9C-101B-9397-08002B2CF9AE}" pid="6" name="csl">
    <vt:lpwstr>/Library/Frameworks/R.framework/Versions/4.5-arm64/Resources/library/papaja/rmd/apa6.csl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Locus of Control and Major Pathways</vt:lpwstr>
  </property>
  <property fmtid="{D5CDD505-2E9C-101B-9397-08002B2CF9AE}" pid="15" name="tablelist">
    <vt:lpwstr>False</vt:lpwstr>
  </property>
  <property fmtid="{D5CDD505-2E9C-101B-9397-08002B2CF9AE}" pid="16" name="wordcount">
    <vt:lpwstr>542</vt:lpwstr>
  </property>
</Properties>
</file>