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22E35" w14:textId="77777777" w:rsidR="000F2341" w:rsidRDefault="00000000">
      <w:pPr>
        <w:spacing w:after="61" w:line="259" w:lineRule="auto"/>
        <w:ind w:left="0" w:right="839" w:firstLine="0"/>
        <w:jc w:val="center"/>
      </w:pPr>
      <w:r>
        <w:rPr>
          <w:rFonts w:ascii="Cambria" w:eastAsia="Cambria" w:hAnsi="Cambria" w:cs="Cambria"/>
          <w:b/>
          <w:sz w:val="32"/>
        </w:rPr>
        <w:t xml:space="preserve">Story </w:t>
      </w:r>
    </w:p>
    <w:p w14:paraId="44036E70" w14:textId="77777777" w:rsidR="000F2341" w:rsidRDefault="00000000">
      <w:pPr>
        <w:spacing w:after="0" w:line="259" w:lineRule="auto"/>
        <w:ind w:left="0" w:right="779" w:firstLine="0"/>
        <w:jc w:val="center"/>
      </w:pPr>
      <w:r>
        <w:rPr>
          <w:rFonts w:ascii="Arial" w:eastAsia="Arial" w:hAnsi="Arial" w:cs="Arial"/>
          <w:b/>
          <w:sz w:val="22"/>
        </w:rPr>
        <w:t xml:space="preserve"> </w:t>
      </w:r>
    </w:p>
    <w:tbl>
      <w:tblPr>
        <w:tblStyle w:val="TableGrid"/>
        <w:tblW w:w="9352" w:type="dxa"/>
        <w:tblInd w:w="-163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0F2341" w14:paraId="38A77E95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08798" w14:textId="77777777" w:rsidR="000F2341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EA1F1" w14:textId="057214E0" w:rsidR="000F2341" w:rsidRDefault="00C66ECD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>28 June</w:t>
            </w:r>
            <w:r w:rsidR="00000000">
              <w:rPr>
                <w:rFonts w:ascii="Arial" w:eastAsia="Arial" w:hAnsi="Arial" w:cs="Arial"/>
                <w:sz w:val="22"/>
              </w:rPr>
              <w:t xml:space="preserve"> 2025 </w:t>
            </w:r>
          </w:p>
        </w:tc>
      </w:tr>
      <w:tr w:rsidR="000F2341" w14:paraId="23573D22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FE06A" w14:textId="77777777" w:rsidR="000F2341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10485" w14:textId="67247BE1" w:rsidR="000F2341" w:rsidRDefault="00000000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>LTVIP2025TMI</w:t>
            </w:r>
            <w:r w:rsidR="00C66ECD">
              <w:rPr>
                <w:rFonts w:ascii="Arial" w:eastAsia="Arial" w:hAnsi="Arial" w:cs="Arial"/>
                <w:sz w:val="22"/>
              </w:rPr>
              <w:t>D50924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0F2341" w14:paraId="5DAD6BD1" w14:textId="77777777">
        <w:trPr>
          <w:trHeight w:val="77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FA85" w14:textId="77777777" w:rsidR="000F2341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B0DC" w14:textId="77777777" w:rsidR="000F2341" w:rsidRDefault="00000000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Visualizing Housing Market Trends: An </w:t>
            </w:r>
          </w:p>
          <w:p w14:paraId="4DB8BB04" w14:textId="77777777" w:rsidR="000F2341" w:rsidRDefault="00000000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Analysis of Sale Prices and Features using </w:t>
            </w:r>
          </w:p>
          <w:p w14:paraId="42EB7327" w14:textId="77777777" w:rsidR="000F2341" w:rsidRDefault="00000000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Tableau </w:t>
            </w:r>
          </w:p>
        </w:tc>
      </w:tr>
      <w:tr w:rsidR="000F2341" w14:paraId="414904F4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E2A28" w14:textId="77777777" w:rsidR="000F2341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43CAF" w14:textId="77777777" w:rsidR="000F2341" w:rsidRDefault="00000000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5 Marks </w:t>
            </w:r>
          </w:p>
        </w:tc>
      </w:tr>
    </w:tbl>
    <w:p w14:paraId="294FD664" w14:textId="77777777" w:rsidR="000F2341" w:rsidRDefault="00000000">
      <w:pPr>
        <w:spacing w:after="140" w:line="259" w:lineRule="auto"/>
        <w:ind w:left="0" w:right="0" w:firstLine="0"/>
      </w:pPr>
      <w:r>
        <w:rPr>
          <w:rFonts w:ascii="Cambria" w:eastAsia="Cambria" w:hAnsi="Cambria" w:cs="Cambria"/>
        </w:rPr>
        <w:t xml:space="preserve"> </w:t>
      </w:r>
    </w:p>
    <w:p w14:paraId="76E07452" w14:textId="77777777" w:rsidR="000F2341" w:rsidRDefault="00000000">
      <w:pPr>
        <w:spacing w:after="177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BDB5E42" w14:textId="77777777" w:rsidR="000F2341" w:rsidRDefault="00000000">
      <w:pPr>
        <w:spacing w:after="13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BBD62E" w14:textId="77777777" w:rsidR="000F2341" w:rsidRDefault="00000000">
      <w:pPr>
        <w:spacing w:after="34" w:line="365" w:lineRule="auto"/>
        <w:ind w:left="0" w:right="202" w:firstLine="0"/>
      </w:pPr>
      <w:r>
        <w:rPr>
          <w:noProof/>
        </w:rPr>
        <w:drawing>
          <wp:inline distT="0" distB="0" distL="0" distR="0" wp14:anchorId="485C799D" wp14:editId="1EB24F82">
            <wp:extent cx="6103620" cy="409702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 </w:t>
      </w:r>
    </w:p>
    <w:p w14:paraId="46147223" w14:textId="77777777" w:rsidR="000F2341" w:rsidRDefault="00000000">
      <w:pPr>
        <w:spacing w:after="182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196B70E0" w14:textId="77777777" w:rsidR="000F2341" w:rsidRDefault="00000000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Bedroom Count Dominates</w:t>
      </w:r>
      <w:r>
        <w:t xml:space="preserve"> – The number of bedrooms (red bars) has a higher distribution than bathrooms (orange) and floors (green) across all house ages. This suggests that house age distribution is more influenced by bedroom count. </w:t>
      </w:r>
    </w:p>
    <w:p w14:paraId="49D5F1C7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Consistent Pattern Across Ages</w:t>
      </w:r>
      <w:r>
        <w:t xml:space="preserve"> – The pattern remains relatively stable for different house ages (4, 12, 13, 14, 15 years), indicating no sudden shifts in bedroom, bathroom, or floor counts over time. </w:t>
      </w:r>
    </w:p>
    <w:p w14:paraId="2FA9462C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Potential Influence of Renovations</w:t>
      </w:r>
      <w:r>
        <w:t xml:space="preserve"> – Since the chart mentions renovation trends, it's possible that houses with higher bedroom counts have undergone more modifications over time. </w:t>
      </w:r>
    </w:p>
    <w:p w14:paraId="0BF5C886" w14:textId="77777777" w:rsidR="000F2341" w:rsidRDefault="00000000">
      <w:pPr>
        <w:spacing w:after="156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6F1A7B8B" w14:textId="77777777" w:rsidR="000F2341" w:rsidRDefault="00000000">
      <w:pPr>
        <w:spacing w:after="147" w:line="259" w:lineRule="auto"/>
        <w:ind w:left="0" w:right="0" w:firstLine="0"/>
      </w:pPr>
      <w:r>
        <w:rPr>
          <w:sz w:val="22"/>
        </w:rPr>
        <w:t xml:space="preserve"> </w:t>
      </w:r>
    </w:p>
    <w:p w14:paraId="66026C8B" w14:textId="77777777" w:rsidR="000F2341" w:rsidRDefault="00000000">
      <w:pPr>
        <w:spacing w:after="55" w:line="348" w:lineRule="auto"/>
        <w:ind w:left="0" w:right="180" w:firstLine="0"/>
      </w:pPr>
      <w:r>
        <w:rPr>
          <w:noProof/>
        </w:rPr>
        <w:drawing>
          <wp:inline distT="0" distB="0" distL="0" distR="0" wp14:anchorId="39A0EF0A" wp14:editId="6DFF310A">
            <wp:extent cx="6111240" cy="394208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060B03D1" w14:textId="77777777" w:rsidR="000F2341" w:rsidRDefault="00000000">
      <w:pPr>
        <w:spacing w:after="216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6F9E0AF1" w14:textId="77777777" w:rsidR="000F2341" w:rsidRDefault="00000000">
      <w:pPr>
        <w:spacing w:after="165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D16AB3A" w14:textId="77777777" w:rsidR="000F2341" w:rsidRDefault="00000000">
      <w:pPr>
        <w:numPr>
          <w:ilvl w:val="0"/>
          <w:numId w:val="1"/>
        </w:numPr>
        <w:spacing w:after="32" w:line="266" w:lineRule="auto"/>
        <w:ind w:right="821" w:hanging="360"/>
      </w:pPr>
      <w:r>
        <w:rPr>
          <w:b/>
        </w:rPr>
        <w:t>Most Common Sale Prices</w:t>
      </w:r>
      <w:r>
        <w:t xml:space="preserve"> – The highest concentration of house sales falls in the range of </w:t>
      </w:r>
      <w:r>
        <w:rPr>
          <w:b/>
        </w:rPr>
        <w:t>300K to 500K</w:t>
      </w:r>
      <w:r>
        <w:t xml:space="preserve">, with </w:t>
      </w:r>
      <w:r>
        <w:rPr>
          <w:b/>
        </w:rPr>
        <w:t>500K being the most frequent sale price range</w:t>
      </w:r>
      <w:r>
        <w:t xml:space="preserve">. </w:t>
      </w:r>
    </w:p>
    <w:p w14:paraId="09B3844D" w14:textId="77777777" w:rsidR="000F2341" w:rsidRDefault="00000000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Right-Skewed Distribution</w:t>
      </w:r>
      <w:r>
        <w:t xml:space="preserve"> – The chart exhibits a right-skewed trend, meaning that </w:t>
      </w:r>
      <w:r>
        <w:rPr>
          <w:b/>
        </w:rPr>
        <w:t>lower-priced homes are more commonly sold</w:t>
      </w:r>
      <w:r>
        <w:t xml:space="preserve">, while high-priced homes are rarer. </w:t>
      </w:r>
    </w:p>
    <w:p w14:paraId="46E7223D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Extreme High-Value Outlier</w:t>
      </w:r>
      <w:r>
        <w:t xml:space="preserve"> – There is a significant outlier at </w:t>
      </w:r>
      <w:r>
        <w:rPr>
          <w:b/>
        </w:rPr>
        <w:t>1.32 million</w:t>
      </w:r>
      <w:r>
        <w:t xml:space="preserve">, which suggests the presence of a few ultra-expensive properties. </w:t>
      </w:r>
    </w:p>
    <w:p w14:paraId="2C1954B4" w14:textId="77777777" w:rsidR="000F2341" w:rsidRDefault="00000000">
      <w:pPr>
        <w:spacing w:after="177" w:line="259" w:lineRule="auto"/>
        <w:ind w:left="0" w:right="0" w:firstLine="0"/>
      </w:pPr>
      <w:r>
        <w:t xml:space="preserve"> </w:t>
      </w:r>
    </w:p>
    <w:p w14:paraId="62D34F5C" w14:textId="77777777" w:rsidR="000F2341" w:rsidRDefault="00000000">
      <w:pPr>
        <w:spacing w:after="160" w:line="259" w:lineRule="auto"/>
        <w:ind w:left="0" w:right="0" w:firstLine="0"/>
      </w:pPr>
      <w:r>
        <w:t xml:space="preserve"> </w:t>
      </w:r>
    </w:p>
    <w:p w14:paraId="5F9871AF" w14:textId="77777777" w:rsidR="000F2341" w:rsidRDefault="00000000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764E2AAD" w14:textId="77777777" w:rsidR="000F2341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2FC82277" w14:textId="77777777" w:rsidR="000F2341" w:rsidRDefault="00000000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2BDEED33" w14:textId="77777777" w:rsidR="000F2341" w:rsidRDefault="00000000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223E7953" w14:textId="77777777" w:rsidR="000F2341" w:rsidRDefault="00000000">
      <w:pPr>
        <w:spacing w:after="261" w:line="259" w:lineRule="auto"/>
        <w:ind w:left="0" w:right="0" w:firstLine="0"/>
      </w:pPr>
      <w:r>
        <w:rPr>
          <w:sz w:val="22"/>
        </w:rPr>
        <w:t xml:space="preserve"> </w:t>
      </w:r>
    </w:p>
    <w:p w14:paraId="51C116AE" w14:textId="77777777" w:rsidR="000F2341" w:rsidRDefault="00000000">
      <w:pPr>
        <w:spacing w:after="264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778FED85" w14:textId="77777777" w:rsidR="000F2341" w:rsidRDefault="00000000">
      <w:pPr>
        <w:spacing w:after="253" w:line="259" w:lineRule="auto"/>
        <w:ind w:left="0" w:right="0" w:firstLine="0"/>
      </w:pPr>
      <w:r>
        <w:rPr>
          <w:sz w:val="22"/>
        </w:rPr>
        <w:t xml:space="preserve"> </w:t>
      </w:r>
    </w:p>
    <w:p w14:paraId="6797FF20" w14:textId="77777777" w:rsidR="000F2341" w:rsidRDefault="00000000">
      <w:pPr>
        <w:spacing w:after="233" w:line="259" w:lineRule="auto"/>
        <w:ind w:left="0" w:right="89" w:firstLine="0"/>
        <w:jc w:val="right"/>
      </w:pPr>
      <w:r>
        <w:rPr>
          <w:noProof/>
        </w:rPr>
        <w:drawing>
          <wp:inline distT="0" distB="0" distL="0" distR="0" wp14:anchorId="720947BD" wp14:editId="69120848">
            <wp:extent cx="6172200" cy="428244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D23598C" w14:textId="77777777" w:rsidR="000F2341" w:rsidRDefault="00000000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602F316A" w14:textId="77777777" w:rsidR="000F2341" w:rsidRDefault="00000000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0D879C62" w14:textId="77777777" w:rsidR="000F2341" w:rsidRDefault="00000000">
      <w:pPr>
        <w:spacing w:after="22" w:line="259" w:lineRule="auto"/>
        <w:ind w:left="720" w:right="0" w:firstLine="0"/>
      </w:pPr>
      <w:r>
        <w:rPr>
          <w:b/>
        </w:rPr>
        <w:t xml:space="preserve"> </w:t>
      </w:r>
    </w:p>
    <w:p w14:paraId="26870C28" w14:textId="77777777" w:rsidR="000F2341" w:rsidRDefault="00000000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Peak Sales at 300K</w:t>
      </w:r>
      <w:r>
        <w:t xml:space="preserve"> – The highest number of sales occurs at the 300K price range, indicating strong demand for affordable houses. </w:t>
      </w:r>
    </w:p>
    <w:p w14:paraId="25EA28FC" w14:textId="77777777" w:rsidR="000F2341" w:rsidRDefault="00000000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Renovated Houses Sell More in Certain Price Ranges</w:t>
      </w:r>
      <w:r>
        <w:t xml:space="preserve"> – The 350K and 400K price bins show a high number of sales where houses have been renovated recently (represented by lighter colors). </w:t>
      </w:r>
    </w:p>
    <w:p w14:paraId="233305D8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Sales Decline as Prices Increase –</w:t>
      </w:r>
      <w:r>
        <w:t xml:space="preserve"> Similar to previous charts, the number of sales gradually decreases beyond 450K, indicating that fewer people purchase expensive homes. </w:t>
      </w:r>
    </w:p>
    <w:p w14:paraId="7773EF14" w14:textId="77777777" w:rsidR="000F2341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35A7DAA3" w14:textId="77777777" w:rsidR="000F2341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037B692C" w14:textId="77777777" w:rsidR="000F2341" w:rsidRDefault="00000000">
      <w:pPr>
        <w:spacing w:after="2" w:line="254" w:lineRule="auto"/>
        <w:ind w:left="720" w:right="9090" w:firstLine="0"/>
      </w:pPr>
      <w:r>
        <w:rPr>
          <w:sz w:val="22"/>
        </w:rPr>
        <w:t xml:space="preserve">  </w:t>
      </w:r>
    </w:p>
    <w:p w14:paraId="307E7B2D" w14:textId="77777777" w:rsidR="000F2341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7F483E0B" w14:textId="77777777" w:rsidR="000F2341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11811DE4" w14:textId="77777777" w:rsidR="000F2341" w:rsidRDefault="00000000">
      <w:pPr>
        <w:spacing w:after="156" w:line="259" w:lineRule="auto"/>
        <w:ind w:left="720" w:right="0" w:firstLine="0"/>
      </w:pPr>
      <w:r>
        <w:rPr>
          <w:sz w:val="22"/>
        </w:rPr>
        <w:lastRenderedPageBreak/>
        <w:t xml:space="preserve"> </w:t>
      </w:r>
    </w:p>
    <w:p w14:paraId="21646AE7" w14:textId="77777777" w:rsidR="000F2341" w:rsidRDefault="00000000">
      <w:pPr>
        <w:spacing w:after="147" w:line="259" w:lineRule="auto"/>
        <w:ind w:left="0" w:right="0" w:firstLine="0"/>
      </w:pPr>
      <w:r>
        <w:rPr>
          <w:sz w:val="22"/>
        </w:rPr>
        <w:t xml:space="preserve"> </w:t>
      </w:r>
    </w:p>
    <w:p w14:paraId="2465E6CD" w14:textId="77777777" w:rsidR="000F2341" w:rsidRDefault="00000000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3D49E46" wp14:editId="3EC8E7C1">
            <wp:extent cx="6225540" cy="450342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45419DD" w14:textId="77777777" w:rsidR="000F2341" w:rsidRDefault="00000000">
      <w:pPr>
        <w:spacing w:after="173" w:line="259" w:lineRule="auto"/>
        <w:ind w:left="0" w:right="0" w:firstLine="0"/>
      </w:pPr>
      <w:r>
        <w:rPr>
          <w:sz w:val="22"/>
        </w:rPr>
        <w:t xml:space="preserve"> </w:t>
      </w:r>
    </w:p>
    <w:p w14:paraId="597139DB" w14:textId="77777777" w:rsidR="000F2341" w:rsidRDefault="00000000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67C56916" w14:textId="77777777" w:rsidR="000F2341" w:rsidRDefault="00000000">
      <w:pPr>
        <w:spacing w:after="180" w:line="259" w:lineRule="auto"/>
        <w:ind w:left="0" w:right="0" w:firstLine="0"/>
      </w:pPr>
      <w:r>
        <w:rPr>
          <w:b/>
        </w:rPr>
        <w:t xml:space="preserve"> </w:t>
      </w:r>
    </w:p>
    <w:p w14:paraId="1B5D6BBA" w14:textId="77777777" w:rsidR="000F2341" w:rsidRDefault="00000000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Older Houses Have Longer Time Since Renovation –</w:t>
      </w:r>
      <w:r>
        <w:t xml:space="preserve"> Houses that are older tend to have a higher number of years since their last renovation. Some points in the dataset indicate houses that haven't been renovated for over 600 years, which may be a data anomaly or an extreme case. </w:t>
      </w:r>
    </w:p>
    <w:p w14:paraId="69FA8646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Clusters of Recently Renovated Houses –</w:t>
      </w:r>
      <w:r>
        <w:t xml:space="preserve"> Some houses, even with significant ages, show lower years since renovation, meaning they have been maintained or upgraded more recently. </w:t>
      </w:r>
    </w:p>
    <w:p w14:paraId="4AFE251D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Extreme Peaks Indicate Outliers</w:t>
      </w:r>
      <w:r>
        <w:t xml:space="preserve"> – The highest spikes may suggest that some very old houses have never been renovated, or the data might have inconsistencies in renovation records. </w:t>
      </w:r>
    </w:p>
    <w:p w14:paraId="12E2A2C7" w14:textId="77777777" w:rsidR="000F2341" w:rsidRDefault="00000000">
      <w:pPr>
        <w:spacing w:after="141" w:line="259" w:lineRule="auto"/>
        <w:ind w:left="0" w:right="0" w:firstLine="0"/>
      </w:pPr>
      <w:r>
        <w:rPr>
          <w:b/>
        </w:rPr>
        <w:t xml:space="preserve"> </w:t>
      </w:r>
    </w:p>
    <w:p w14:paraId="1B8B6C96" w14:textId="77777777" w:rsidR="000F2341" w:rsidRDefault="00000000">
      <w:pPr>
        <w:spacing w:after="156" w:line="259" w:lineRule="auto"/>
        <w:ind w:left="0" w:right="0" w:firstLine="0"/>
      </w:pPr>
      <w:r>
        <w:rPr>
          <w:sz w:val="22"/>
        </w:rPr>
        <w:t xml:space="preserve"> </w:t>
      </w:r>
    </w:p>
    <w:p w14:paraId="4ED1641F" w14:textId="77777777" w:rsidR="000F2341" w:rsidRDefault="00000000">
      <w:pPr>
        <w:spacing w:after="158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51FAEADA" w14:textId="77777777" w:rsidR="000F2341" w:rsidRDefault="00000000">
      <w:pPr>
        <w:spacing w:after="146" w:line="259" w:lineRule="auto"/>
        <w:ind w:left="0" w:right="0" w:firstLine="0"/>
      </w:pPr>
      <w:r>
        <w:rPr>
          <w:sz w:val="22"/>
        </w:rPr>
        <w:t xml:space="preserve"> </w:t>
      </w:r>
    </w:p>
    <w:p w14:paraId="2210951F" w14:textId="77777777" w:rsidR="000F2341" w:rsidRDefault="00000000">
      <w:pPr>
        <w:spacing w:after="110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3C6FA890" wp14:editId="22A260CD">
            <wp:extent cx="6149340" cy="403098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1359DA0" w14:textId="77777777" w:rsidR="000F2341" w:rsidRDefault="00000000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30ECFB63" w14:textId="77777777" w:rsidR="000F2341" w:rsidRDefault="00000000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Observation:</w:t>
      </w:r>
      <w:r>
        <w:rPr>
          <w:b/>
        </w:rPr>
        <w:t xml:space="preserve"> </w:t>
      </w:r>
    </w:p>
    <w:p w14:paraId="0E74CCF9" w14:textId="77777777" w:rsidR="000F2341" w:rsidRDefault="00000000">
      <w:pPr>
        <w:spacing w:after="160" w:line="259" w:lineRule="auto"/>
        <w:ind w:left="0" w:right="0" w:firstLine="0"/>
      </w:pPr>
      <w:r>
        <w:rPr>
          <w:b/>
        </w:rPr>
        <w:t xml:space="preserve"> </w:t>
      </w:r>
    </w:p>
    <w:p w14:paraId="31E8354A" w14:textId="77777777" w:rsidR="000F2341" w:rsidRDefault="00000000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Even Distribution of House Ages</w:t>
      </w:r>
      <w:r>
        <w:rPr>
          <w:sz w:val="22"/>
        </w:rPr>
        <w:t xml:space="preserve"> – The chart shows a relatively balanced distribution of houses across different age ranges, with no single age group overwhelmingly dominating. </w:t>
      </w:r>
    </w:p>
    <w:p w14:paraId="345120A4" w14:textId="77777777" w:rsidR="000F2341" w:rsidRDefault="00000000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Older Houses (100+ Years) Have a Noticeable Presence</w:t>
      </w:r>
      <w:r>
        <w:rPr>
          <w:sz w:val="22"/>
        </w:rPr>
        <w:t xml:space="preserve"> – Houses aged 96 and 118 years occupy significant portions of the pie, suggesting a notable number of older homes in the dataset. </w:t>
      </w:r>
    </w:p>
    <w:p w14:paraId="275DF55E" w14:textId="77777777" w:rsidR="000F2341" w:rsidRDefault="00000000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Majority of Houses are 50-100 Years Old –</w:t>
      </w:r>
      <w:r>
        <w:rPr>
          <w:sz w:val="22"/>
        </w:rPr>
        <w:t xml:space="preserve"> Most houses fall within the 50 to 96-year range, implying that mid-aged homes make up a significant part of the dataset. </w:t>
      </w:r>
    </w:p>
    <w:p w14:paraId="5A9ADD0E" w14:textId="77777777" w:rsidR="000F2341" w:rsidRDefault="00000000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Renovated House Count is Highlighted –</w:t>
      </w:r>
      <w:r>
        <w:rPr>
          <w:sz w:val="22"/>
        </w:rPr>
        <w:t xml:space="preserve"> The 204 houses that have been renovated suggest that a substantial portion of homes in the dataset have undergone upgrades or maintenance at some point. </w:t>
      </w:r>
    </w:p>
    <w:p w14:paraId="021F4DFD" w14:textId="77777777" w:rsidR="000F2341" w:rsidRDefault="00000000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05FF859B" w14:textId="77777777" w:rsidR="000F2341" w:rsidRDefault="00000000">
      <w:pPr>
        <w:spacing w:after="164" w:line="259" w:lineRule="auto"/>
        <w:ind w:left="0" w:right="0" w:firstLine="0"/>
      </w:pPr>
      <w:r>
        <w:rPr>
          <w:sz w:val="22"/>
        </w:rPr>
        <w:t xml:space="preserve"> </w:t>
      </w:r>
    </w:p>
    <w:p w14:paraId="36B5429C" w14:textId="77777777" w:rsidR="000F2341" w:rsidRDefault="00000000">
      <w:pPr>
        <w:spacing w:after="127" w:line="259" w:lineRule="auto"/>
        <w:ind w:left="0" w:right="233" w:firstLine="0"/>
        <w:jc w:val="right"/>
      </w:pPr>
      <w:r>
        <w:rPr>
          <w:noProof/>
        </w:rPr>
        <w:lastRenderedPageBreak/>
        <w:drawing>
          <wp:inline distT="0" distB="0" distL="0" distR="0" wp14:anchorId="4A684CB3" wp14:editId="1E5339A9">
            <wp:extent cx="6080760" cy="395478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2C92716" w14:textId="77777777" w:rsidR="000F2341" w:rsidRDefault="00000000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59ED7266" w14:textId="77777777" w:rsidR="000F2341" w:rsidRDefault="00000000">
      <w:pPr>
        <w:spacing w:after="192" w:line="259" w:lineRule="auto"/>
        <w:ind w:left="0" w:right="0" w:firstLine="0"/>
      </w:pPr>
      <w:r>
        <w:rPr>
          <w:sz w:val="22"/>
        </w:rPr>
        <w:t xml:space="preserve"> </w:t>
      </w:r>
    </w:p>
    <w:p w14:paraId="054A931E" w14:textId="77777777" w:rsidR="000F2341" w:rsidRDefault="00000000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18FA9422" w14:textId="77777777" w:rsidR="000F2341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60119299" w14:textId="77777777" w:rsidR="000F2341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1D31E4E8" w14:textId="77777777" w:rsidR="000F2341" w:rsidRDefault="00000000">
      <w:pPr>
        <w:spacing w:after="38" w:line="259" w:lineRule="auto"/>
        <w:ind w:left="720" w:right="0" w:firstLine="0"/>
      </w:pPr>
      <w:r>
        <w:rPr>
          <w:sz w:val="22"/>
        </w:rPr>
        <w:t xml:space="preserve"> </w:t>
      </w:r>
    </w:p>
    <w:p w14:paraId="1E274C49" w14:textId="77777777" w:rsidR="000F2341" w:rsidRDefault="00000000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Newer Houses are More Frequent in the Dataset</w:t>
      </w:r>
      <w:r>
        <w:t xml:space="preserve"> – The table lists house ages from 4 to 50 years, indicating that newer homes (under 50 years old) are well-represented in the dataset. </w:t>
      </w:r>
    </w:p>
    <w:p w14:paraId="64A6423E" w14:textId="77777777" w:rsidR="000F2341" w:rsidRDefault="00000000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 xml:space="preserve">Overall Grade Decreases with Age </w:t>
      </w:r>
      <w:r>
        <w:t xml:space="preserve">– The overall grade of houses tends to decline as the house age increases (e.g., 4-year-old houses have a grade of 4,769, while 50-yearold houses have 2,820), suggesting that older houses may have lower quality or fewer modern upgrades. </w:t>
      </w:r>
    </w:p>
    <w:p w14:paraId="5948276D" w14:textId="77777777" w:rsidR="000F2341" w:rsidRDefault="00000000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Waterfront Views are Limited –</w:t>
      </w:r>
      <w:r>
        <w:t xml:space="preserve"> Very few houses have a waterfront view (values range from 0-3 per house age group), suggesting that such properties are rare in the dataset. </w:t>
      </w:r>
    </w:p>
    <w:p w14:paraId="401D77CF" w14:textId="77777777" w:rsidR="000F2341" w:rsidRDefault="00000000">
      <w:pPr>
        <w:numPr>
          <w:ilvl w:val="0"/>
          <w:numId w:val="1"/>
        </w:numPr>
        <w:ind w:right="821" w:hanging="360"/>
      </w:pPr>
      <w:r>
        <w:rPr>
          <w:b/>
        </w:rPr>
        <w:t>Count of Houses Decreases with Age –</w:t>
      </w:r>
      <w:r>
        <w:t xml:space="preserve"> The number of houses recorded in the dataset reduces as the house age increases. For example, there are 558 houses aged 4 years, but only 381 houses aged 50 years. </w:t>
      </w:r>
    </w:p>
    <w:p w14:paraId="458A19AA" w14:textId="77777777" w:rsidR="000F2341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5E0763F3" w14:textId="77777777" w:rsidR="000F2341" w:rsidRDefault="00000000">
      <w:pPr>
        <w:spacing w:after="110" w:line="259" w:lineRule="auto"/>
        <w:ind w:left="0" w:right="197" w:firstLine="0"/>
        <w:jc w:val="right"/>
      </w:pPr>
      <w:r>
        <w:rPr>
          <w:noProof/>
        </w:rPr>
        <w:lastRenderedPageBreak/>
        <w:drawing>
          <wp:inline distT="0" distB="0" distL="0" distR="0" wp14:anchorId="79D7B892" wp14:editId="63D0B15F">
            <wp:extent cx="6103620" cy="415290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C924F45" w14:textId="77777777" w:rsidR="000F2341" w:rsidRDefault="00000000">
      <w:pPr>
        <w:spacing w:after="156" w:line="259" w:lineRule="auto"/>
        <w:ind w:left="0" w:right="0" w:firstLine="0"/>
      </w:pPr>
      <w:r>
        <w:rPr>
          <w:sz w:val="22"/>
        </w:rPr>
        <w:t xml:space="preserve"> </w:t>
      </w:r>
    </w:p>
    <w:p w14:paraId="73F7FCC7" w14:textId="77777777" w:rsidR="000F2341" w:rsidRDefault="00000000">
      <w:pPr>
        <w:spacing w:after="159" w:line="259" w:lineRule="auto"/>
        <w:ind w:left="0" w:right="0" w:firstLine="0"/>
      </w:pPr>
      <w:r>
        <w:rPr>
          <w:sz w:val="22"/>
        </w:rPr>
        <w:t xml:space="preserve"> </w:t>
      </w:r>
    </w:p>
    <w:p w14:paraId="0BA96205" w14:textId="77777777" w:rsidR="000F2341" w:rsidRDefault="00000000">
      <w:pPr>
        <w:spacing w:after="173" w:line="259" w:lineRule="auto"/>
        <w:ind w:left="0" w:right="0" w:firstLine="0"/>
      </w:pPr>
      <w:r>
        <w:rPr>
          <w:sz w:val="22"/>
        </w:rPr>
        <w:t xml:space="preserve"> </w:t>
      </w:r>
    </w:p>
    <w:p w14:paraId="7C2219E0" w14:textId="77777777" w:rsidR="000F2341" w:rsidRDefault="00000000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Observation:</w:t>
      </w:r>
      <w:r>
        <w:rPr>
          <w:b/>
        </w:rPr>
        <w:t xml:space="preserve"> </w:t>
      </w:r>
    </w:p>
    <w:p w14:paraId="4347B231" w14:textId="77777777" w:rsidR="000F2341" w:rsidRDefault="00000000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308BD98B" w14:textId="77777777" w:rsidR="000F2341" w:rsidRDefault="00000000">
      <w:pPr>
        <w:pStyle w:val="Heading1"/>
        <w:ind w:left="-5"/>
      </w:pPr>
      <w:r>
        <w:t xml:space="preserve">Scenario 1 - Dataset Overview </w:t>
      </w:r>
    </w:p>
    <w:p w14:paraId="002577E0" w14:textId="77777777" w:rsidR="000F2341" w:rsidRDefault="00000000">
      <w:pPr>
        <w:numPr>
          <w:ilvl w:val="0"/>
          <w:numId w:val="2"/>
        </w:numPr>
        <w:ind w:right="821" w:hanging="360"/>
      </w:pPr>
      <w:r>
        <w:t xml:space="preserve">The dataset contains 21,609 houses. </w:t>
      </w:r>
    </w:p>
    <w:p w14:paraId="38747FB4" w14:textId="77777777" w:rsidR="000F2341" w:rsidRDefault="00000000">
      <w:pPr>
        <w:numPr>
          <w:ilvl w:val="0"/>
          <w:numId w:val="2"/>
        </w:numPr>
        <w:ind w:right="821" w:hanging="360"/>
      </w:pPr>
      <w:r>
        <w:t xml:space="preserve">The average sale price is $511,619. </w:t>
      </w:r>
    </w:p>
    <w:p w14:paraId="6853E020" w14:textId="77777777" w:rsidR="000F2341" w:rsidRDefault="00000000">
      <w:pPr>
        <w:numPr>
          <w:ilvl w:val="0"/>
          <w:numId w:val="2"/>
        </w:numPr>
        <w:spacing w:after="1" w:line="396" w:lineRule="auto"/>
        <w:ind w:right="821" w:hanging="360"/>
      </w:pPr>
      <w:r>
        <w:t xml:space="preserve">The total house area (including basements) is 38,643,798 sqft. </w:t>
      </w:r>
      <w:r>
        <w:rPr>
          <w:b/>
        </w:rPr>
        <w:t xml:space="preserve">Scenario 2 - Total Sales by Years Since Renovation </w:t>
      </w:r>
    </w:p>
    <w:p w14:paraId="74CA1BA4" w14:textId="77777777" w:rsidR="000F2341" w:rsidRDefault="00000000">
      <w:pPr>
        <w:numPr>
          <w:ilvl w:val="0"/>
          <w:numId w:val="2"/>
        </w:numPr>
        <w:ind w:right="821" w:hanging="360"/>
      </w:pPr>
      <w:r>
        <w:t xml:space="preserve">The highest number of sales occurs in the $350K price range, indicating this price bracket is the most preferred. </w:t>
      </w:r>
    </w:p>
    <w:p w14:paraId="089351A0" w14:textId="77777777" w:rsidR="000F2341" w:rsidRDefault="00000000">
      <w:pPr>
        <w:numPr>
          <w:ilvl w:val="0"/>
          <w:numId w:val="2"/>
        </w:numPr>
        <w:ind w:right="821" w:hanging="360"/>
      </w:pPr>
      <w:r>
        <w:t xml:space="preserve">The $250K and $600K price bins have the least number of sales, suggesting lower demand for both cheaper and premium-priced houses. </w:t>
      </w:r>
    </w:p>
    <w:p w14:paraId="16AF2219" w14:textId="77777777" w:rsidR="000F2341" w:rsidRDefault="00000000">
      <w:pPr>
        <w:numPr>
          <w:ilvl w:val="0"/>
          <w:numId w:val="2"/>
        </w:numPr>
        <w:ind w:right="821" w:hanging="360"/>
      </w:pPr>
      <w:r>
        <w:t xml:space="preserve">The $400K and $450K price ranges show moderate sales, indicating a balanced market in this segment. </w:t>
      </w:r>
    </w:p>
    <w:p w14:paraId="57BBCAAF" w14:textId="77777777" w:rsidR="000F2341" w:rsidRDefault="00000000">
      <w:pPr>
        <w:spacing w:after="0" w:line="259" w:lineRule="auto"/>
        <w:ind w:left="720" w:right="0" w:firstLine="0"/>
      </w:pPr>
      <w:r>
        <w:t xml:space="preserve"> </w:t>
      </w:r>
    </w:p>
    <w:p w14:paraId="5A5B7EDA" w14:textId="77777777" w:rsidR="000F2341" w:rsidRDefault="00000000">
      <w:pPr>
        <w:pStyle w:val="Heading1"/>
        <w:ind w:left="-5"/>
      </w:pPr>
      <w:r>
        <w:lastRenderedPageBreak/>
        <w:t xml:space="preserve">Scenario 3 - Distribution of House Age by Renovation Status </w:t>
      </w:r>
    </w:p>
    <w:p w14:paraId="031E64E3" w14:textId="77777777" w:rsidR="000F2341" w:rsidRDefault="00000000">
      <w:pPr>
        <w:numPr>
          <w:ilvl w:val="0"/>
          <w:numId w:val="3"/>
        </w:numPr>
        <w:ind w:right="821" w:hanging="360"/>
      </w:pPr>
      <w:r>
        <w:t xml:space="preserve">The pie chart shows that houses have varying renovation statuses. </w:t>
      </w:r>
    </w:p>
    <w:p w14:paraId="40111D53" w14:textId="77777777" w:rsidR="000F2341" w:rsidRDefault="00000000">
      <w:pPr>
        <w:numPr>
          <w:ilvl w:val="0"/>
          <w:numId w:val="3"/>
        </w:numPr>
        <w:ind w:right="821" w:hanging="360"/>
      </w:pPr>
      <w:r>
        <w:t xml:space="preserve">Different age groups of houses exist, with no single age dominating the dataset. </w:t>
      </w:r>
    </w:p>
    <w:p w14:paraId="6B9ED038" w14:textId="77777777" w:rsidR="000F2341" w:rsidRDefault="00000000">
      <w:pPr>
        <w:numPr>
          <w:ilvl w:val="0"/>
          <w:numId w:val="3"/>
        </w:numPr>
        <w:ind w:right="821" w:hanging="360"/>
      </w:pPr>
      <w:r>
        <w:t xml:space="preserve">Some houses are older but still renovated, which could imply that renovations boost house value and marketability. </w:t>
      </w:r>
    </w:p>
    <w:p w14:paraId="46A6E7BC" w14:textId="77777777" w:rsidR="000F2341" w:rsidRDefault="00000000">
      <w:pPr>
        <w:pStyle w:val="Heading1"/>
        <w:ind w:left="-5"/>
      </w:pPr>
      <w:r>
        <w:t xml:space="preserve">Scenario 4 - House Age Distribution by Bathrooms, Bedrooms, and Floors </w:t>
      </w:r>
    </w:p>
    <w:p w14:paraId="0C14E6A6" w14:textId="77777777" w:rsidR="000F2341" w:rsidRDefault="00000000">
      <w:pPr>
        <w:numPr>
          <w:ilvl w:val="0"/>
          <w:numId w:val="4"/>
        </w:numPr>
        <w:ind w:right="821" w:hanging="360"/>
      </w:pPr>
      <w:r>
        <w:t xml:space="preserve">Houses around 4 years old have the highest count in terms of the number of bathrooms, bedrooms, and floors. </w:t>
      </w:r>
    </w:p>
    <w:p w14:paraId="18E12F7F" w14:textId="77777777" w:rsidR="000F2341" w:rsidRDefault="00000000">
      <w:pPr>
        <w:numPr>
          <w:ilvl w:val="0"/>
          <w:numId w:val="4"/>
        </w:numPr>
        <w:ind w:right="821" w:hanging="360"/>
      </w:pPr>
      <w:r>
        <w:t xml:space="preserve">The number of bathrooms appears to have a significant impact on house distribution. </w:t>
      </w:r>
    </w:p>
    <w:p w14:paraId="11E7CFAA" w14:textId="77777777" w:rsidR="000F2341" w:rsidRDefault="00000000">
      <w:pPr>
        <w:numPr>
          <w:ilvl w:val="0"/>
          <w:numId w:val="4"/>
        </w:numPr>
        <w:ind w:right="821" w:hanging="360"/>
      </w:pPr>
      <w:r>
        <w:t xml:space="preserve">Houses aged 12 to 15 years have a more balanced distribution across different parameters, suggesting these are still competitive in the market. </w:t>
      </w:r>
    </w:p>
    <w:p w14:paraId="05166CE6" w14:textId="77777777" w:rsidR="000F2341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0F2341">
      <w:pgSz w:w="11906" w:h="16838"/>
      <w:pgMar w:top="1440" w:right="600" w:bottom="150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54070"/>
    <w:multiLevelType w:val="hybridMultilevel"/>
    <w:tmpl w:val="8348FE1A"/>
    <w:lvl w:ilvl="0" w:tplc="BC14D3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8252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EA2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9CDB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BE70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043C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C4F7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8E64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9A22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C82183"/>
    <w:multiLevelType w:val="hybridMultilevel"/>
    <w:tmpl w:val="A2ECE572"/>
    <w:lvl w:ilvl="0" w:tplc="FD36BB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02D9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5869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C085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0C08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9614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C64D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8C9D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9E8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B934D3"/>
    <w:multiLevelType w:val="hybridMultilevel"/>
    <w:tmpl w:val="954AC268"/>
    <w:lvl w:ilvl="0" w:tplc="9D264A9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BCA6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B664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2F6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AA0D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26FF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F49D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433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3E6D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7539B3"/>
    <w:multiLevelType w:val="hybridMultilevel"/>
    <w:tmpl w:val="ABA462CC"/>
    <w:lvl w:ilvl="0" w:tplc="AA0E77E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CEA8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F69E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16AD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1431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D290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9E2C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FEE4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4A92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22503313">
    <w:abstractNumId w:val="2"/>
  </w:num>
  <w:num w:numId="2" w16cid:durableId="1630091959">
    <w:abstractNumId w:val="0"/>
  </w:num>
  <w:num w:numId="3" w16cid:durableId="2103640502">
    <w:abstractNumId w:val="3"/>
  </w:num>
  <w:num w:numId="4" w16cid:durableId="60180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341"/>
    <w:rsid w:val="000F2341"/>
    <w:rsid w:val="00C6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15C6"/>
  <w15:docId w15:val="{1F25E68F-809C-4D44-A867-FC36BFA5D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5" w:lineRule="auto"/>
      <w:ind w:left="730" w:right="357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3" w:line="266" w:lineRule="auto"/>
      <w:ind w:left="370" w:right="64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814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venkay</dc:creator>
  <cp:keywords/>
  <cp:lastModifiedBy>nukalanandini123@outlook.com</cp:lastModifiedBy>
  <cp:revision>2</cp:revision>
  <dcterms:created xsi:type="dcterms:W3CDTF">2025-06-27T20:38:00Z</dcterms:created>
  <dcterms:modified xsi:type="dcterms:W3CDTF">2025-06-27T20:38:00Z</dcterms:modified>
</cp:coreProperties>
</file>