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60"/>
        <w:jc w:val="center"/>
      </w:pPr>
      <w:r>
        <w:rPr>
          <w:b/>
          <w:bCs/>
          <w:color w:val="1F3864"/>
          <w:sz w:val="48"/>
          <w:szCs w:val="48"/>
        </w:rPr>
        <w:t xml:space="preserve">LOAN APPROVAL PREDICTION</w:t>
      </w:r>
    </w:p>
    <w:p>
      <w:pPr>
        <w:spacing w:after="200"/>
        <w:jc w:val="center"/>
      </w:pPr>
      <w:r>
        <w:rPr>
          <w:i/>
          <w:iCs/>
          <w:color w:val="2E75B6"/>
          <w:sz w:val="22"/>
          <w:szCs w:val="22"/>
        </w:rPr>
        <w:t xml:space="preserve">A Machine Learning Approach to Automated Credit Risk Assessment</w:t>
      </w:r>
    </w:p>
    <w:p>
      <w:pPr>
        <w:pBdr>
          <w:bottom w:val="single" w:color="2E75B6" w:sz="8" w:space="8"/>
        </w:pBdr>
        <w:jc w:val="center"/>
      </w:pPr>
      <w:r>
        <w:rPr>
          <w:sz w:val="4"/>
          <w:szCs w:val="4"/>
        </w:rPr>
        <w:t xml:space="preserve">                                                                                      </w:t>
      </w:r>
    </w:p>
    <w:p>
      <w:pPr>
        <w:spacing w:before="900"/>
      </w:pPr>
    </w:p>
    <w:p>
      <w:pPr>
        <w:spacing w:after="60"/>
        <w:jc w:val="center"/>
      </w:pPr>
      <w:r>
        <w:rPr>
          <w:b/>
          <w:bCs/>
          <w:color w:val="262626"/>
          <w:sz w:val="22"/>
          <w:szCs w:val="22"/>
        </w:rPr>
        <w:t xml:space="preserve">Project Documentation</w:t>
      </w:r>
    </w:p>
    <w:p>
      <w:pPr>
        <w:spacing w:after="30"/>
        <w:jc w:val="center"/>
      </w:pPr>
      <w:r>
        <w:rPr>
          <w:color w:val="595959"/>
          <w:sz w:val="17"/>
          <w:szCs w:val="17"/>
        </w:rPr>
        <w:t xml:space="preserve">Dataset: loan_approval_dataset.csv   |   4,269 Applicant Records   |   13 Features</w:t>
      </w:r>
    </w:p>
    <w:p>
      <w:pPr>
        <w:spacing w:after="30"/>
        <w:jc w:val="center"/>
      </w:pPr>
      <w:r>
        <w:rPr>
          <w:color w:val="595959"/>
          <w:sz w:val="17"/>
          <w:szCs w:val="17"/>
        </w:rPr>
        <w:t xml:space="preserve">Best Performing Model: Random Forest (Tuned) — 98.0% Test Accuracy</w:t>
      </w:r>
    </w:p>
    <w:p>
      <w:pPr>
        <w:spacing w:before="700"/>
        <w:jc w:val="center"/>
      </w:pPr>
      <w:r>
        <w:rPr>
          <w:color w:val="595959"/>
          <w:sz w:val="16"/>
          <w:szCs w:val="16"/>
        </w:rPr>
        <w:t xml:space="preserve">Prepared August 2026</w:t>
      </w: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1. Business Understanding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Problem Statement</w:t>
      </w:r>
    </w:p>
    <w:p>
      <w:pPr>
        <w:spacing w:after="80" w:line="260"/>
      </w:pPr>
      <w:r>
        <w:rPr>
          <w:color w:val="262626"/>
          <w:sz w:val="18"/>
          <w:szCs w:val="18"/>
        </w:rPr>
        <w:t xml:space="preserve">A bank wants to predict whether a loan application should be approved based on the applicant's personal and financial information. Automating this decision reduces manual effort and speeds up the loan approval process.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Business 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Reduce manual verification effort in loan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Minimize the risk of approving high-risk applicants.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Improve the overall customer experience through faster decisions.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Machine Learning Problem Framing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Type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Supervised Learning</w:t>
            </w:r>
          </w:p>
        </w:tc>
      </w:tr>
      <w:tr>
        <w:tc>
          <w:tcPr>
            <w:tcW w:type="dxa" w:w="2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Category</w:t>
            </w:r>
          </w:p>
        </w:tc>
        <w:tc>
          <w:tcPr>
            <w:tcW w:type="dxa" w:w="6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Binary Classification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Target Variable</w:t>
            </w:r>
          </w:p>
        </w:tc>
        <w:tc>
          <w:tcPr>
            <w:tcW w:type="dxa" w:w="6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loan_status  (Approved / Rejected)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2. Dataset Understanding</w:t>
      </w:r>
    </w:p>
    <w:p>
      <w:pPr>
        <w:spacing w:after="80" w:line="260"/>
      </w:pPr>
      <w:r>
        <w:rPr>
          <w:color w:val="262626"/>
          <w:sz w:val="18"/>
          <w:szCs w:val="18"/>
        </w:rPr>
        <w:t xml:space="preserve">The dataset contains 4,269 loan applications across 13 attributes covering applicant demographics, income, requested loan terms, credit history, and asset holdings.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6400"/>
      </w:tblGrid>
      <w:tr>
        <w:trPr>
          <w:tblHeader/>
        </w:trPr>
        <w:tc>
          <w:tcPr>
            <w:tcW w:type="dxa" w:w="2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6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no_of_dependents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Number of dependents the applicant has</w:t>
            </w:r>
          </w:p>
        </w:tc>
      </w:tr>
      <w:tr>
        <w:tc>
          <w:tcPr>
            <w:tcW w:type="dxa" w:w="2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education</w:t>
            </w:r>
          </w:p>
        </w:tc>
        <w:tc>
          <w:tcPr>
            <w:tcW w:type="dxa" w:w="6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Graduate / Not Graduate</w:t>
            </w:r>
          </w:p>
        </w:tc>
      </w:tr>
      <w:tr>
        <w:tc>
          <w:tcPr>
            <w:tcW w:type="dxa" w:w="2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self_employed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Whether the applicant is self-employed</w:t>
            </w:r>
          </w:p>
        </w:tc>
      </w:tr>
      <w:tr>
        <w:tc>
          <w:tcPr>
            <w:tcW w:type="dxa" w:w="2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income_annum</w:t>
            </w:r>
          </w:p>
        </w:tc>
        <w:tc>
          <w:tcPr>
            <w:tcW w:type="dxa" w:w="6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Annual income of the applicant</w:t>
            </w:r>
          </w:p>
        </w:tc>
      </w:tr>
      <w:tr>
        <w:tc>
          <w:tcPr>
            <w:tcW w:type="dxa" w:w="2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loan_amount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 amount requested</w:t>
            </w:r>
          </w:p>
        </w:tc>
      </w:tr>
      <w:tr>
        <w:tc>
          <w:tcPr>
            <w:tcW w:type="dxa" w:w="2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loan_term_years</w:t>
            </w:r>
          </w:p>
        </w:tc>
        <w:tc>
          <w:tcPr>
            <w:tcW w:type="dxa" w:w="6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 repayment term, in years</w:t>
            </w:r>
          </w:p>
        </w:tc>
      </w:tr>
      <w:tr>
        <w:tc>
          <w:tcPr>
            <w:tcW w:type="dxa" w:w="2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cibil_score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Applicant's credit (CIBIL) score</w:t>
            </w:r>
          </w:p>
        </w:tc>
      </w:tr>
      <w:tr>
        <w:tc>
          <w:tcPr>
            <w:tcW w:type="dxa" w:w="2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residential / commercial / luxury assets</w:t>
            </w:r>
          </w:p>
        </w:tc>
        <w:tc>
          <w:tcPr>
            <w:tcW w:type="dxa" w:w="6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Value of applicant's asset holdings</w:t>
            </w:r>
          </w:p>
        </w:tc>
      </w:tr>
      <w:tr>
        <w:tc>
          <w:tcPr>
            <w:tcW w:type="dxa" w:w="2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bank_asset_value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Value of the applicant's bank assets</w:t>
            </w:r>
          </w:p>
        </w:tc>
      </w:tr>
      <w:tr>
        <w:tc>
          <w:tcPr>
            <w:tcW w:type="dxa" w:w="2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loan_status (Target)</w:t>
            </w:r>
          </w:p>
        </w:tc>
        <w:tc>
          <w:tcPr>
            <w:tcW w:type="dxa" w:w="6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Approved or Rejected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3. Data Preparation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Dataset shape: 4,269 rows × 13 columns; duplicate records: 0; missing values: 0 across all columns.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Column names were stripped of whitespace, and loan_term / bank_assets_value were renamed to loan_term_years / bank_balance for clarity.</w:t>
      </w:r>
    </w:p>
    <w:p>
      <w:pPr>
        <w:spacing w:after="80" w:line="260"/>
      </w:pPr>
      <w:r>
        <w:rPr>
          <w:i/>
          <w:iCs/>
          <w:color w:val="595959"/>
          <w:sz w:val="18"/>
          <w:szCs w:val="18"/>
        </w:rPr>
        <w:t xml:space="preserve">The dataset was clean and required no imputation or duplicate removal — a strong foundation for reliable model training.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Label Encoding — education, self_employed, and loan_status were converted from text to numeric codes.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Feature Scaling — StandardScaler applied to income, loan amount, CIBIL score, and asset-value columns so distance-based models (KNN, SVM) are not biased by feature magnitude.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Train / Test Split — 80% training, 20% held-out testing (random_state = 42) for unbiased evaluation.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4. Exploratory Data Analysis</w:t>
      </w:r>
    </w:p>
    <w:p>
      <w:pPr>
        <w:spacing w:after="80" w:line="260"/>
      </w:pPr>
      <w:r>
        <w:rPr>
          <w:color w:val="262626"/>
          <w:sz w:val="18"/>
          <w:szCs w:val="18"/>
        </w:rPr>
        <w:t xml:space="preserve">Univariate, bivariate, and multivariate analysis were used to understand feature distributions and their relationship with loan approval outcomes.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Feature Distributions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40"/>
              <w:jc w:val="center"/>
            </w:pPr>
            <w:r>
              <w:rPr>
                <w:i/>
                <w:iCs/>
                <w:color w:val="595959"/>
                <w:sz w:val="14"/>
                <w:szCs w:val="14"/>
              </w:rPr>
              <w:t xml:space="preserve">CIBIL score distribution</w:t>
            </w:r>
          </w:p>
        </w:tc>
        <w:tc>
          <w:tcPr>
            <w:tcW w:type="dxa" w:w="4680"/>
            <w:tcMar>
              <w:top w:type="dxa" w:w="4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40"/>
              <w:jc w:val="center"/>
            </w:pPr>
            <w:r>
              <w:rPr>
                <w:i/>
                <w:iCs/>
                <w:color w:val="595959"/>
                <w:sz w:val="14"/>
                <w:szCs w:val="14"/>
              </w:rPr>
              <w:t xml:space="preserve">Loan amount distribution</w:t>
            </w:r>
          </w:p>
        </w:tc>
      </w:tr>
    </w:tbl>
    <w:p>
      <w:pPr>
        <w:spacing w:after="80" w:line="260"/>
      </w:pPr>
      <w:r>
        <w:rPr>
          <w:color w:val="595959"/>
          <w:sz w:val="16"/>
          <w:szCs w:val="16"/>
        </w:rPr>
        <w:t xml:space="preserve">Most applicants cluster above a 700 CIBIL score, with a secondary group between 500-600. Requested loan amounts are concentrated between ₹1-2 crore, with very few applicants requesting more than ₹2.5 crore.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CIBIL Score vs. Loan Status</w:t>
      </w:r>
    </w:p>
    <w:p>
      <w:pPr>
        <w:spacing w:after="20" w:before="80"/>
        <w:jc w:val="center"/>
      </w:pPr>
      <w:r>
        <w:drawing>
          <wp:inline distT="0" distB="0" distL="0" distR="0">
            <wp:extent cx="314325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95959"/>
          <w:sz w:val="15"/>
          <w:szCs w:val="15"/>
        </w:rPr>
        <w:t xml:space="preserve">Approved applications consistently show a higher median CIBIL score than rejected ones.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Correlation Heatmap</w:t>
      </w:r>
    </w:p>
    <w:p>
      <w:pPr>
        <w:spacing w:after="20" w:before="80"/>
        <w:jc w:val="center"/>
      </w:pPr>
      <w:r>
        <w:drawing>
          <wp:inline distT="0" distB="0" distL="0" distR="0">
            <wp:extent cx="3238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95959"/>
          <w:sz w:val="15"/>
          <w:szCs w:val="15"/>
        </w:rPr>
        <w:t xml:space="preserve">Income, loan amount, and asset values are strongly positively correlated with one another.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Key Insights from Exploratory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Applicants with a higher CIBIL score are markedly more likely to have their loan approved; CIBIL is the single strongest driver of approval.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Education and self-employment status show minimal impact on approval outcomes.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Loan amount scales strongly with annual income and asset values, but average income is similar between approved and rejected groups.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no_of_dependents, education, and self_employed contribute little independent signal and are largely redundant for prediction.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5. Model Building &amp; Evaluation</w:t>
      </w:r>
    </w:p>
    <w:p>
      <w:pPr>
        <w:spacing w:after="80" w:line="260"/>
      </w:pPr>
      <w:r>
        <w:rPr>
          <w:color w:val="262626"/>
          <w:sz w:val="18"/>
          <w:szCs w:val="18"/>
        </w:rPr>
        <w:t xml:space="preserve">Seven classification algorithms were trained on the prepared dataset and evaluated on the held-out 20% test set using accuracy as the primary 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3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Accuracy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XGBoost</w:t>
            </w:r>
          </w:p>
        </w:tc>
        <w:tc>
          <w:tcPr>
            <w:tcW w:type="dxa" w:w="3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97.89%</w:t>
            </w:r>
          </w:p>
        </w:tc>
      </w:tr>
      <w:tr>
        <w:tc>
          <w:tcPr>
            <w:tcW w:type="dxa" w:w="5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3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97.78%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3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97.42%</w:t>
            </w:r>
          </w:p>
        </w:tc>
      </w:tr>
      <w:tr>
        <w:tc>
          <w:tcPr>
            <w:tcW w:type="dxa" w:w="5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AdaBoost</w:t>
            </w:r>
          </w:p>
        </w:tc>
        <w:tc>
          <w:tcPr>
            <w:tcW w:type="dxa" w:w="3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96.49%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3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90.05%</w:t>
            </w:r>
          </w:p>
        </w:tc>
      </w:tr>
      <w:tr>
        <w:tc>
          <w:tcPr>
            <w:tcW w:type="dxa" w:w="5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Support Vector Machine (SVM)</w:t>
            </w:r>
          </w:p>
        </w:tc>
        <w:tc>
          <w:tcPr>
            <w:tcW w:type="dxa" w:w="3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62.76%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K-Nearest Neighbors (KNN)</w:t>
            </w:r>
          </w:p>
        </w:tc>
        <w:tc>
          <w:tcPr>
            <w:tcW w:type="dxa" w:w="3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57.38%</w:t>
            </w:r>
          </w:p>
        </w:tc>
      </w:tr>
    </w:tbl>
    <w:p>
      <w:pPr>
        <w:spacing w:after="80" w:line="260"/>
      </w:pPr>
      <w:r>
        <w:rPr>
          <w:i/>
          <w:iCs/>
          <w:color w:val="595959"/>
          <w:sz w:val="16"/>
          <w:szCs w:val="16"/>
        </w:rPr>
        <w:t xml:space="preserve">Tree-based ensemble methods (XGBoost, Random Forest, Decision Tree, AdaBoost) substantially outperform distance- and margin-based models, which struggle with the scale and feature mix of this dataset.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6. Hyperparameter Tuning</w:t>
      </w:r>
    </w:p>
    <w:p>
      <w:pPr>
        <w:spacing w:after="80" w:line="260"/>
      </w:pPr>
      <w:r>
        <w:rPr>
          <w:color w:val="262626"/>
          <w:sz w:val="18"/>
          <w:szCs w:val="18"/>
        </w:rPr>
        <w:t xml:space="preserve">Random Forest was tuned using both Grid Search and Randomized Search cross-validation (cv = 5) to identify the optimal configuration and further improve generalization.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5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Best Parameters</w:t>
            </w:r>
          </w:p>
        </w:tc>
        <w:tc>
          <w:tcPr>
            <w:tcW w:type="dxa" w:w="1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Accuracy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GridSearchCV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n_estimators=50, max_depth=15, min_samples_split=2</w:t>
            </w:r>
          </w:p>
        </w:tc>
        <w:tc>
          <w:tcPr>
            <w:tcW w:type="dxa" w:w="19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97.42%</w:t>
            </w:r>
          </w:p>
        </w:tc>
      </w:tr>
      <w:tr>
        <w:tc>
          <w:tcPr>
            <w:tcW w:type="dxa" w:w="20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RandomizedSearchCV</w:t>
            </w:r>
          </w:p>
        </w:tc>
        <w:tc>
          <w:tcPr>
            <w:tcW w:type="dxa" w:w="54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n_estimators=150, max_depth=15, min_samples_split=5, min_samples_leaf=1</w:t>
            </w:r>
          </w:p>
        </w:tc>
        <w:tc>
          <w:tcPr>
            <w:tcW w:type="dxa" w:w="19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98.01%</w:t>
            </w:r>
          </w:p>
        </w:tc>
      </w:tr>
    </w:tbl>
    <w:p>
      <w:pPr>
        <w:spacing w:after="80" w:line="260"/>
      </w:pPr>
      <w:r>
        <w:rPr>
          <w:b/>
          <w:bCs/>
          <w:color w:val="1E7145"/>
          <w:sz w:val="16"/>
          <w:szCs w:val="16"/>
        </w:rPr>
        <w:t xml:space="preserve">RandomizedSearchCV produced the best-performing model overall, reaching 98.01% test accuracy — the final selected configuration.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7. Feature Importance</w:t>
      </w:r>
    </w:p>
    <w:p>
      <w:pPr>
        <w:spacing w:after="80" w:line="260"/>
      </w:pPr>
      <w:r>
        <w:rPr>
          <w:color w:val="262626"/>
          <w:sz w:val="18"/>
          <w:szCs w:val="18"/>
        </w:rPr>
        <w:t xml:space="preserve">Feature importance rankings from both Random Forest and XGBoost confirm that credit history dominates the approval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25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XGBoost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cibil_score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79.96%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66.21%</w:t>
            </w:r>
          </w:p>
        </w:tc>
      </w:tr>
      <w:tr>
        <w:tc>
          <w:tcPr>
            <w:tcW w:type="dxa" w:w="42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loan_term_years</w:t>
            </w:r>
          </w:p>
        </w:tc>
        <w:tc>
          <w:tcPr>
            <w:tcW w:type="dxa" w:w="26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6.43%</w:t>
            </w:r>
          </w:p>
        </w:tc>
        <w:tc>
          <w:tcPr>
            <w:tcW w:type="dxa" w:w="25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22.02%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loan_amount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2.58%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2.50%</w:t>
            </w:r>
          </w:p>
        </w:tc>
      </w:tr>
      <w:tr>
        <w:tc>
          <w:tcPr>
            <w:tcW w:type="dxa" w:w="42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income_annum</w:t>
            </w:r>
          </w:p>
        </w:tc>
        <w:tc>
          <w:tcPr>
            <w:tcW w:type="dxa" w:w="26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1.65%</w:t>
            </w:r>
          </w:p>
        </w:tc>
        <w:tc>
          <w:tcPr>
            <w:tcW w:type="dxa" w:w="25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2.80%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Asset values (combined)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~4.9%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~2.5%</w:t>
            </w:r>
          </w:p>
        </w:tc>
      </w:tr>
      <w:tr>
        <w:tc>
          <w:tcPr>
            <w:tcW w:type="dxa" w:w="42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no_of_dependents / education / self_employed</w:t>
            </w:r>
          </w:p>
        </w:tc>
        <w:tc>
          <w:tcPr>
            <w:tcW w:type="dxa" w:w="260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&lt; 1% each</w:t>
            </w:r>
          </w:p>
        </w:tc>
        <w:tc>
          <w:tcPr>
            <w:tcW w:type="dxa" w:w="2560"/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6"/>
                <w:szCs w:val="16"/>
              </w:rPr>
              <w:t xml:space="preserve">&lt; 1% each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40" w:before="280"/>
      </w:pPr>
      <w:r>
        <w:rPr>
          <w:b/>
          <w:bCs/>
          <w:color w:val="1F3864"/>
          <w:sz w:val="27"/>
          <w:szCs w:val="27"/>
        </w:rPr>
        <w:t xml:space="preserve">8. Final Insights &amp;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Give the highest priority to applicants' CIBIL score — it is by far the strongest predictor of loan approval across all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Ensure the requested loan amount is proportionate to the applicant's income to reduce default 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Factor in loan term, as longer terms materially affect approval likelihood per the XGBoost importance ranking.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Use asset values (residential, commercial, luxury, and bank assets) as secondary indicators of repayment capacity.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18"/>
          <w:szCs w:val="18"/>
        </w:rPr>
        <w:t xml:space="preserve">Education and self-employment status can be deprioritized in scoring, as they show negligible predictive value.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Conclusion</w:t>
      </w:r>
    </w:p>
    <w:p>
      <w:pPr>
        <w:spacing w:after="80" w:line="260"/>
      </w:pPr>
      <w:r>
        <w:rPr>
          <w:color w:val="262626"/>
          <w:sz w:val="18"/>
          <w:szCs w:val="18"/>
        </w:rPr>
        <w:t xml:space="preserve">The tuned Random Forest model (98.0% test accuracy) is recommended for deployment as a first-pass automated screening tool, with CIBIL score, loan term, and loan-to-income ratio as the primary decision drivers. The model and its preprocessing pipeline were serialized (Loan_model.pkl) for integration into the bank's loan origination workflow.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4"/>
        <w:szCs w:val="14"/>
      </w:rPr>
      <w:t xml:space="preserve">Loan Approval Prediction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809c275d2e81713b6f2c0f90ba9027a9e0de43.png"/><Relationship Id="rId10" Type="http://schemas.openxmlformats.org/officeDocument/2006/relationships/image" Target="media/41fc5f536bf8d3dc5d09669e9fff6a791dc8fa33.png"/><Relationship Id="rId11" Type="http://schemas.openxmlformats.org/officeDocument/2006/relationships/image" Target="media/3f64246db74ad40e4cb26c91a464ceb812b495a7.png"/><Relationship Id="rId12" Type="http://schemas.openxmlformats.org/officeDocument/2006/relationships/image" Target="media/9739188848c9e290499dcb34d6d01266b0ad795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2026-08-11T16:56:44.327Z</dcterms:created>
  <dcterms:modified xsi:type="dcterms:W3CDTF">2026-08-11T16:56:44.328Z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