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r>
        <w:t>1. INDEMNIFICATION: The Client shall indemnify and hold harmless the Service Provider from all claims, regardless of fault.</w:t>
      </w:r>
    </w:p>
    <w:p>
      <w:r>
        <w:t>2. TERMINATION: The Service Provider may terminate this Agreement at any time, for any reason, with zero notice.</w:t>
      </w:r>
    </w:p>
    <w:p>
      <w:r>
        <w:t>3. NON-COMPETE: For 5 years after termination, the Client may not work in any competing industry anywhere in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