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NIS2 Applicability Note</w:t>
      </w:r>
    </w:p>
    <w:p>
      <w:pPr>
        <w:spacing w:after="260"/>
        <w:jc w:val="center"/>
      </w:pPr>
      <w:r>
        <w:rPr>
          <w:rFonts w:ascii="Calibri" w:cs="Calibri" w:eastAsia="Calibri" w:hAnsi="Calibri"/>
          <w:i/>
          <w:iCs/>
          <w:sz w:val="22"/>
          <w:szCs w:val="22"/>
        </w:rPr>
        <w:t xml:space="preserve">Would a platform like EventCraft fall within NIS2 scope? A worked analysis.</w:t>
      </w:r>
    </w:p>
    <w:p>
      <w:pPr>
        <w:spacing w:after="300"/>
        <w:jc w:val="center"/>
      </w:pPr>
      <w:r>
        <w:rPr>
          <w:rFonts w:ascii="Calibri" w:cs="Calibri" w:eastAsia="Calibri" w:hAnsi="Calibri"/>
          <w:color w:val="555555"/>
          <w:sz w:val="19"/>
          <w:szCs w:val="19"/>
        </w:rPr>
        <w:t xml:space="preserve">Prepared by Venkat Bhavan Tati — companion document to the EventCraft ISO/IEC 27001 Risk Register</w:t>
      </w:r>
    </w:p>
    <w:p>
      <w:pPr>
        <w:pBdr>
          <w:bottom w:val="single" w:color="1F3864" w:sz="6" w:space="2"/>
        </w:pBdr>
        <w:spacing w:after="100" w:before="280"/>
      </w:pPr>
      <w:r>
        <w:rPr>
          <w:rFonts w:ascii="Calibri" w:cs="Calibri" w:eastAsia="Calibri" w:hAnsi="Calibri"/>
          <w:b/>
          <w:bCs/>
          <w:color w:val="1F3864"/>
          <w:sz w:val="26"/>
          <w:szCs w:val="26"/>
        </w:rPr>
        <w:t xml:space="preserve">1. Purpose and framing</w:t>
      </w:r>
    </w:p>
    <w:p>
      <w:pPr>
        <w:spacing w:after="180" w:line="300"/>
      </w:pPr>
      <w:r>
        <w:rPr>
          <w:rFonts w:ascii="Calibri" w:cs="Calibri" w:eastAsia="Calibri" w:hAnsi="Calibri"/>
          <w:sz w:val="22"/>
          <w:szCs w:val="22"/>
        </w:rPr>
        <w:t xml:space="preserve">The EU's NIS2 Directive (Directive (EU) 2022/2555) expands the scope of mandatory cybersecurity risk-management obligations across the EU compared to its 2016 predecessor. This note asks a deliberately narrow, concrete question rather than summarizing NIS2 in the abstract: if EventCraft — the role-based event management platform documented in the companion Risk Register — were operated as a real commercial or institutional service rather than a student project, would it fall within NIS2's scope, and if so, under which category and with what practical obligations?</w:t>
      </w:r>
    </w:p>
    <w:p>
      <w:pPr>
        <w:spacing w:after="180" w:line="300"/>
      </w:pPr>
      <w:r>
        <w:rPr>
          <w:rFonts w:ascii="Calibri" w:cs="Calibri" w:eastAsia="Calibri" w:hAnsi="Calibri"/>
          <w:sz w:val="22"/>
          <w:szCs w:val="22"/>
        </w:rPr>
        <w:t xml:space="preserve">This exercise is written to demonstrate applied regulatory reasoning, not to assert that EventCraft (a non-commercial university course project) is actually subject to NIS2 today. It is not.</w:t>
      </w:r>
    </w:p>
    <w:p>
      <w:pPr>
        <w:pBdr>
          <w:bottom w:val="single" w:color="1F3864" w:sz="6" w:space="2"/>
        </w:pBdr>
        <w:spacing w:after="100" w:before="280"/>
      </w:pPr>
      <w:r>
        <w:rPr>
          <w:rFonts w:ascii="Calibri" w:cs="Calibri" w:eastAsia="Calibri" w:hAnsi="Calibri"/>
          <w:b/>
          <w:bCs/>
          <w:color w:val="1F3864"/>
          <w:sz w:val="26"/>
          <w:szCs w:val="26"/>
        </w:rPr>
        <w:t xml:space="preserve">2. How NIS2 scoping actually works</w:t>
      </w:r>
    </w:p>
    <w:p>
      <w:pPr>
        <w:spacing w:after="180" w:line="300"/>
      </w:pPr>
      <w:r>
        <w:rPr>
          <w:rFonts w:ascii="Calibri" w:cs="Calibri" w:eastAsia="Calibri" w:hAnsi="Calibri"/>
          <w:sz w:val="22"/>
          <w:szCs w:val="22"/>
        </w:rPr>
        <w:t xml:space="preserve">NIS2 does not apply to organizations by activity alone — it applies through a two-part test: (a) does the organization operate in one of the sectors listed in NIS2's Annex I ("essential entities") or Annex II ("important entities"), and (b) does it meet the size thresholds NIS2 sets as the default (generally: medium-sized or larger — 50+ employees or €10 million+ annual turnover/balance sheet, per the EU's SME definition).</w:t>
      </w:r>
    </w:p>
    <w:p>
      <w:pPr>
        <w:spacing w:after="180" w:line="300"/>
      </w:pPr>
      <w:r>
        <w:rPr>
          <w:rFonts w:ascii="Calibri" w:cs="Calibri" w:eastAsia="Calibri" w:hAnsi="Calibri"/>
          <w:sz w:val="22"/>
          <w:szCs w:val="22"/>
        </w:rPr>
        <w:t xml:space="preserve">Entities below the size threshold are generally out of scope unless a Member State designates them in scope regardless of size (for example, if they are the sole provider of a critical service in a region), or unless a sector-specific EU instrument overrides the size-cap rule.</w:t>
      </w:r>
    </w:p>
    <w:p>
      <w:pPr>
        <w:pBdr>
          <w:bottom w:val="single" w:color="1F3864" w:sz="6" w:space="2"/>
        </w:pBdr>
        <w:spacing w:after="100" w:before="280"/>
      </w:pPr>
      <w:r>
        <w:rPr>
          <w:rFonts w:ascii="Calibri" w:cs="Calibri" w:eastAsia="Calibri" w:hAnsi="Calibri"/>
          <w:b/>
          <w:bCs/>
          <w:color w:val="1F3864"/>
          <w:sz w:val="26"/>
          <w:szCs w:val="26"/>
        </w:rPr>
        <w:t xml:space="preserve">3. Applying the test to EventCraft</w:t>
      </w:r>
    </w:p>
    <w:p>
      <w:pPr>
        <w:spacing w:after="180" w:line="300"/>
      </w:pPr>
      <w:r>
        <w:rPr>
          <w:rFonts w:ascii="Calibri" w:cs="Calibri" w:eastAsia="Calibri" w:hAnsi="Calibri"/>
          <w:b/>
          <w:bCs/>
          <w:sz w:val="22"/>
          <w:szCs w:val="22"/>
        </w:rPr>
        <w:t xml:space="preserve">Step 1 — Sector test: </w:t>
      </w:r>
      <w:r>
        <w:rPr>
          <w:rFonts w:ascii="Calibri" w:cs="Calibri" w:eastAsia="Calibri" w:hAnsi="Calibri"/>
          <w:sz w:val="22"/>
          <w:szCs w:val="22"/>
        </w:rPr>
        <w:t xml:space="preserve">EventCraft is an event-management and social-networking platform for a university community. On its face this does not map onto any Annex I sector (energy, transport, banking, health, digital infrastructure, public administration, space, etc.) or Annex II sector (postal services, waste management, food production, digital providers such as online marketplaces/search engines/social networking platforms, research organizations, etc.).</w:t>
      </w:r>
    </w:p>
    <w:p>
      <w:pPr>
        <w:spacing w:after="180" w:line="300"/>
      </w:pPr>
      <w:r>
        <w:rPr>
          <w:rFonts w:ascii="Calibri" w:cs="Calibri" w:eastAsia="Calibri" w:hAnsi="Calibri"/>
          <w:b/>
          <w:bCs/>
          <w:sz w:val="22"/>
          <w:szCs w:val="22"/>
        </w:rPr>
        <w:t xml:space="preserve">One genuinely arguable angle: </w:t>
      </w:r>
      <w:r>
        <w:rPr>
          <w:rFonts w:ascii="Calibri" w:cs="Calibri" w:eastAsia="Calibri" w:hAnsi="Calibri"/>
          <w:sz w:val="22"/>
          <w:szCs w:val="22"/>
        </w:rPr>
        <w:t xml:space="preserve">NIS2's Annex II explicitly includes "providers of online social networking services platforms" as a category of digital provider. EventCraft's Coffee Buddy feature and event group chats give it a real social-networking dimension, not merely event logistics. If EventCraft were operated at meaningful scale as a standalone commercial platform (rather than a university-internal tool), this is the classification a regulator would most plausibly examine first — not because EventCraft calls itself "social," but because matching users by interest and enabling ongoing peer messaging is functionally what that Annex II category targets.</w:t>
      </w:r>
    </w:p>
    <w:p>
      <w:pPr>
        <w:spacing w:after="180" w:line="300"/>
      </w:pPr>
      <w:r>
        <w:rPr>
          <w:rFonts w:ascii="Calibri" w:cs="Calibri" w:eastAsia="Calibri" w:hAnsi="Calibri"/>
          <w:b/>
          <w:bCs/>
          <w:sz w:val="22"/>
          <w:szCs w:val="22"/>
        </w:rPr>
        <w:t xml:space="preserve">Step 2 — Size test: </w:t>
      </w:r>
      <w:r>
        <w:rPr>
          <w:rFonts w:ascii="Calibri" w:cs="Calibri" w:eastAsia="Calibri" w:hAnsi="Calibri"/>
          <w:sz w:val="22"/>
          <w:szCs w:val="22"/>
        </w:rPr>
        <w:t xml:space="preserve">As an actual university course project with no employees, revenue, or independent legal entity, EventCraft fails the size threshold by a wide margin regardless of sector classification. This alone is sufficient to place it out of scope as currently constituted.</w:t>
      </w:r>
    </w:p>
    <w:p>
      <w:pPr>
        <w:spacing w:after="180" w:line="300"/>
      </w:pPr>
      <w:r>
        <w:rPr>
          <w:rFonts w:ascii="Calibri" w:cs="Calibri" w:eastAsia="Calibri" w:hAnsi="Calibri"/>
          <w:b/>
          <w:bCs/>
          <w:sz w:val="22"/>
          <w:szCs w:val="22"/>
        </w:rPr>
        <w:t xml:space="preserve">Step 3 — Operator-of-the-underlying-university angle: </w:t>
      </w:r>
      <w:r>
        <w:rPr>
          <w:rFonts w:ascii="Calibri" w:cs="Calibri" w:eastAsia="Calibri" w:hAnsi="Calibri"/>
          <w:sz w:val="22"/>
          <w:szCs w:val="22"/>
        </w:rPr>
        <w:t xml:space="preserve">A separate question is whether Hochschule Fulda itself, as the hosting institution, has NIS2 obligations that could extend to a platform it operates. NIS2 Annex I includes "public administration" entities, and some Member States' transposition laws extend obligations to public-sector research and education bodies above the size threshold. This would be a matter of the university's own NIS2 posture (as the accountable entity), not EventCraft's as a standalone service — the platform would be in-scope-by-association rather than in scope in its own right.</w:t>
      </w:r>
    </w:p>
    <w:p>
      <w:pPr>
        <w:pBdr>
          <w:bottom w:val="single" w:color="1F3864" w:sz="6" w:space="2"/>
        </w:pBdr>
        <w:spacing w:after="100" w:before="280"/>
      </w:pPr>
      <w:r>
        <w:rPr>
          <w:rFonts w:ascii="Calibri" w:cs="Calibri" w:eastAsia="Calibri" w:hAnsi="Calibri"/>
          <w:b/>
          <w:bCs/>
          <w:color w:val="1F3864"/>
          <w:sz w:val="26"/>
          <w:szCs w:val="26"/>
        </w:rPr>
        <w:t xml:space="preserve">4. Conclusion</w:t>
      </w:r>
    </w:p>
    <w:p>
      <w:pPr>
        <w:spacing w:after="180" w:line="300"/>
      </w:pPr>
      <w:r>
        <w:rPr>
          <w:rFonts w:ascii="Calibri" w:cs="Calibri" w:eastAsia="Calibri" w:hAnsi="Calibri"/>
          <w:sz w:val="22"/>
          <w:szCs w:val="22"/>
        </w:rPr>
        <w:t xml:space="preserve">As a non-commercial student project with no independent legal or economic identity, EventCraft does not meet NIS2's size threshold and is out of scope today, regardless of the sector question. If EventCraft's feature set (event management plus embedded social networking) were operated as an independent, commercially scaled platform, the Annex II "online social networking services platform" category is the most plausible classification a regulator would investigate — meaning the risk-management measures in NIS2 Article 21(2) (the same control families reflected in the companion Risk Register: incident handling, supply chain security, access control, cryptography, and business continuity) would become directly relevant obligations, not just good practice.</w:t>
      </w:r>
    </w:p>
    <w:p>
      <w:pPr>
        <w:pBdr>
          <w:bottom w:val="single" w:color="1F3864" w:sz="6" w:space="2"/>
        </w:pBdr>
        <w:spacing w:after="100" w:before="280"/>
      </w:pPr>
      <w:r>
        <w:rPr>
          <w:rFonts w:ascii="Calibri" w:cs="Calibri" w:eastAsia="Calibri" w:hAnsi="Calibri"/>
          <w:b/>
          <w:bCs/>
          <w:color w:val="1F3864"/>
          <w:sz w:val="26"/>
          <w:szCs w:val="26"/>
        </w:rPr>
        <w:t xml:space="preserve">5. Article 21(2) measures — mapped to this Risk Register</w:t>
      </w:r>
    </w:p>
    <w:p>
      <w:pPr>
        <w:spacing w:after="180" w:line="300"/>
      </w:pPr>
      <w:r>
        <w:rPr>
          <w:rFonts w:ascii="Calibri" w:cs="Calibri" w:eastAsia="Calibri" w:hAnsi="Calibri"/>
          <w:sz w:val="22"/>
          <w:szCs w:val="22"/>
        </w:rPr>
        <w:t xml:space="preserve">For reference, NIS2 Article 21(2) sets out ten categories of risk-management measures. The table below maps each to where it is already addressed (or flagged as a gap) in the companion Risk Register:</w:t>
      </w:r>
    </w:p>
    <w:p>
      <w:pPr>
        <w:pStyle w:val="ListParagraph"/>
        <w:numPr>
          <w:ilvl w:val="0"/>
          <w:numId w:val="1"/>
        </w:numPr>
        <w:spacing w:after="90" w:line="280"/>
      </w:pPr>
      <w:r>
        <w:rPr>
          <w:rFonts w:ascii="Calibri" w:cs="Calibri" w:eastAsia="Calibri" w:hAnsi="Calibri"/>
          <w:sz w:val="22"/>
          <w:szCs w:val="22"/>
        </w:rPr>
        <w:t xml:space="preserve">Risk analysis and information system security policy — addressed by the Risk Register itself (this document's companion).</w:t>
      </w:r>
    </w:p>
    <w:p>
      <w:pPr>
        <w:pStyle w:val="ListParagraph"/>
        <w:numPr>
          <w:ilvl w:val="0"/>
          <w:numId w:val="1"/>
        </w:numPr>
        <w:spacing w:after="90" w:line="280"/>
      </w:pPr>
      <w:r>
        <w:rPr>
          <w:rFonts w:ascii="Calibri" w:cs="Calibri" w:eastAsia="Calibri" w:hAnsi="Calibri"/>
          <w:sz w:val="22"/>
          <w:szCs w:val="22"/>
        </w:rPr>
        <w:t xml:space="preserve">Incident handling — partially addressed; EventCraft's notification system (R-14) and admin moderation workflow exist, but no formal incident-response procedure is documented.</w:t>
      </w:r>
    </w:p>
    <w:p>
      <w:pPr>
        <w:pStyle w:val="ListParagraph"/>
        <w:numPr>
          <w:ilvl w:val="0"/>
          <w:numId w:val="1"/>
        </w:numPr>
        <w:spacing w:after="90" w:line="280"/>
      </w:pPr>
      <w:r>
        <w:rPr>
          <w:rFonts w:ascii="Calibri" w:cs="Calibri" w:eastAsia="Calibri" w:hAnsi="Calibri"/>
          <w:sz w:val="22"/>
          <w:szCs w:val="22"/>
        </w:rPr>
        <w:t xml:space="preserve">Business continuity, backup management, disaster recovery — gap. R-01 (single Azure VM, no redundancy) is the clearest unaddressed item against this requirement.</w:t>
      </w:r>
    </w:p>
    <w:p>
      <w:pPr>
        <w:pStyle w:val="ListParagraph"/>
        <w:numPr>
          <w:ilvl w:val="0"/>
          <w:numId w:val="1"/>
        </w:numPr>
        <w:spacing w:after="90" w:line="280"/>
      </w:pPr>
      <w:r>
        <w:rPr>
          <w:rFonts w:ascii="Calibri" w:cs="Calibri" w:eastAsia="Calibri" w:hAnsi="Calibri"/>
          <w:sz w:val="22"/>
          <w:szCs w:val="22"/>
        </w:rPr>
        <w:t xml:space="preserve">Supply chain security — addressed by R-08 (third-party AI integration) and R-11 (GitHub/CI-CD pipeline).</w:t>
      </w:r>
    </w:p>
    <w:p>
      <w:pPr>
        <w:pStyle w:val="ListParagraph"/>
        <w:numPr>
          <w:ilvl w:val="0"/>
          <w:numId w:val="1"/>
        </w:numPr>
        <w:spacing w:after="90" w:line="280"/>
      </w:pPr>
      <w:r>
        <w:rPr>
          <w:rFonts w:ascii="Calibri" w:cs="Calibri" w:eastAsia="Calibri" w:hAnsi="Calibri"/>
          <w:sz w:val="22"/>
          <w:szCs w:val="22"/>
        </w:rPr>
        <w:t xml:space="preserve">Security in system acquisition, development and maintenance — addressed by R-10 (input validation) and R-05 (file upload handling).</w:t>
      </w:r>
    </w:p>
    <w:p>
      <w:pPr>
        <w:pStyle w:val="ListParagraph"/>
        <w:numPr>
          <w:ilvl w:val="0"/>
          <w:numId w:val="1"/>
        </w:numPr>
        <w:spacing w:after="90" w:line="280"/>
      </w:pPr>
      <w:r>
        <w:rPr>
          <w:rFonts w:ascii="Calibri" w:cs="Calibri" w:eastAsia="Calibri" w:hAnsi="Calibri"/>
          <w:sz w:val="22"/>
          <w:szCs w:val="22"/>
        </w:rPr>
        <w:t xml:space="preserve">Policies to assess the effectiveness of risk-management measures — gap; no audit or review cadence is documented for EventCraft.</w:t>
      </w:r>
    </w:p>
    <w:p>
      <w:pPr>
        <w:pStyle w:val="ListParagraph"/>
        <w:numPr>
          <w:ilvl w:val="0"/>
          <w:numId w:val="1"/>
        </w:numPr>
        <w:spacing w:after="90" w:line="280"/>
      </w:pPr>
      <w:r>
        <w:rPr>
          <w:rFonts w:ascii="Calibri" w:cs="Calibri" w:eastAsia="Calibri" w:hAnsi="Calibri"/>
          <w:sz w:val="22"/>
          <w:szCs w:val="22"/>
        </w:rPr>
        <w:t xml:space="preserve">Basic cyber hygiene and security training — out of scope for a 7-person student team, but would become relevant at commercial scale.</w:t>
      </w:r>
    </w:p>
    <w:p>
      <w:pPr>
        <w:pStyle w:val="ListParagraph"/>
        <w:numPr>
          <w:ilvl w:val="0"/>
          <w:numId w:val="1"/>
        </w:numPr>
        <w:spacing w:after="90" w:line="280"/>
      </w:pPr>
      <w:r>
        <w:rPr>
          <w:rFonts w:ascii="Calibri" w:cs="Calibri" w:eastAsia="Calibri" w:hAnsi="Calibri"/>
          <w:sz w:val="22"/>
          <w:szCs w:val="22"/>
        </w:rPr>
        <w:t xml:space="preserve">Cryptography and encryption — partially addressed; bcrypt hashing is documented (R-04), but encryption-at-rest for the database is flagged as a gap (R-02).</w:t>
      </w:r>
    </w:p>
    <w:p>
      <w:pPr>
        <w:pStyle w:val="ListParagraph"/>
        <w:numPr>
          <w:ilvl w:val="0"/>
          <w:numId w:val="1"/>
        </w:numPr>
        <w:spacing w:after="90" w:line="280"/>
      </w:pPr>
      <w:r>
        <w:rPr>
          <w:rFonts w:ascii="Calibri" w:cs="Calibri" w:eastAsia="Calibri" w:hAnsi="Calibri"/>
          <w:sz w:val="22"/>
          <w:szCs w:val="22"/>
        </w:rPr>
        <w:t xml:space="preserve">Human resources security, access control, asset management — addressed by R-07 (RBAC / admin privilege escalation).</w:t>
      </w:r>
    </w:p>
    <w:p>
      <w:pPr>
        <w:pStyle w:val="ListParagraph"/>
        <w:numPr>
          <w:ilvl w:val="0"/>
          <w:numId w:val="1"/>
        </w:numPr>
        <w:spacing w:after="90" w:line="280"/>
      </w:pPr>
      <w:r>
        <w:rPr>
          <w:rFonts w:ascii="Calibri" w:cs="Calibri" w:eastAsia="Calibri" w:hAnsi="Calibri"/>
          <w:sz w:val="22"/>
          <w:szCs w:val="22"/>
        </w:rPr>
        <w:t xml:space="preserve">Use of multi-factor authentication or secure communication solutions — gap; no MFA is documented anywhere in EventCraft's authentication flow.</w:t>
      </w:r>
    </w:p>
    <w:p>
      <w:pPr>
        <w:pBdr>
          <w:bottom w:val="single" w:color="1F3864" w:sz="6" w:space="2"/>
        </w:pBdr>
        <w:spacing w:after="100" w:before="280"/>
      </w:pPr>
      <w:r>
        <w:rPr>
          <w:rFonts w:ascii="Calibri" w:cs="Calibri" w:eastAsia="Calibri" w:hAnsi="Calibri"/>
          <w:b/>
          <w:bCs/>
          <w:color w:val="1F3864"/>
          <w:sz w:val="26"/>
          <w:szCs w:val="26"/>
        </w:rPr>
        <w:t xml:space="preserve">6. Sources and further reading</w:t>
      </w:r>
    </w:p>
    <w:p>
      <w:pPr>
        <w:spacing w:after="180" w:line="300"/>
      </w:pPr>
      <w:r>
        <w:rPr>
          <w:rFonts w:ascii="Calibri" w:cs="Calibri" w:eastAsia="Calibri" w:hAnsi="Calibri"/>
          <w:sz w:val="22"/>
          <w:szCs w:val="22"/>
        </w:rPr>
        <w:t xml:space="preserve">Directive (EU) 2022/2555 (NIS2 Directive), Articles 2 (scope), 3 (essential and important entities), and 21 (cybersecurity risk-management measures). EU SME size-threshold definition per Commission Recommendation 2003/361/EC. This note reflects publicly available summaries of NIS2's structure as of the time of writing and is not legal advice.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2026-09-22T06:02:10.886Z</dcterms:created>
  <dcterms:modified xsi:type="dcterms:W3CDTF">2026-09-22T06:02:10.894Z</dcterms:modified>
</cp:coreProperties>
</file>

<file path=docProps/custom.xml><?xml version="1.0" encoding="utf-8"?>
<Properties xmlns="http://schemas.openxmlformats.org/officeDocument/2006/custom-properties" xmlns:vt="http://schemas.openxmlformats.org/officeDocument/2006/docPropsVTypes"/>
</file>