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US</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r>
        <w:rPr>
          <w:rFonts w:hint="default"/>
          <w:b/>
          <w:lang w:val="en-US" w:eastAsia="en-IN"/>
        </w:rPr>
        <w:drawing>
          <wp:inline distT="0" distB="0" distL="114300" distR="114300">
            <wp:extent cx="1852295" cy="541020"/>
            <wp:effectExtent l="0" t="0" r="6985" b="7620"/>
            <wp:docPr id="6" name="Picture 6" descr="/var/www/project/travel-test/dev/public/offer_letter_documents/signature/signature_us.pngsignature_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us.pngsignature_us"/>
                    <pic:cNvPicPr>
                      <a:picLocks noChangeAspect="1"/>
                    </pic:cNvPicPr>
                  </pic:nvPicPr>
                  <pic:blipFill>
                    <a:blip r:embed="rId9"/>
                    <a:srcRect/>
                    <a:stretch>
                      <a:fillRect/>
                    </a:stretch>
                  </pic:blipFill>
                  <pic:spPr>
                    <a:xfrm>
                      <a:off x="0" y="0"/>
                      <a:ext cx="1852295" cy="541020"/>
                    </a:xfrm>
                    <a:prstGeom prst="rect">
                      <a:avLst/>
                    </a:prstGeom>
                  </pic:spPr>
                </pic:pic>
              </a:graphicData>
            </a:graphic>
          </wp:inline>
        </w:drawing>
      </w:r>
      <w:bookmarkStart w:id="0" w:name="_GoBack"/>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AECA315"/>
    <w:rsid w:val="4FCDC5BC"/>
    <w:rsid w:val="59DA4394"/>
    <w:rsid w:val="7F9E4AD9"/>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qFormat/>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2024-09-30T19:34:03Z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