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EDE7A58DEF4F74A41294287C344877"/>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AC12B6"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9-09T00:00:00Z">
                  <w:dateFormat w:val="M/d/yy"/>
                  <w:lid w:val="en-US"/>
                  <w:storeMappedDataAs w:val="dateTime"/>
                  <w:calendar w:val="gregorian"/>
                </w:date>
              </w:sdtPr>
              <w:sdtContent>
                <w:tc>
                  <w:tcPr>
                    <w:tcW w:w="5000" w:type="pct"/>
                    <w:vAlign w:val="center"/>
                  </w:tcPr>
                  <w:p w:rsidR="002D12EF" w:rsidRDefault="001B7AFF">
                    <w:pPr>
                      <w:pStyle w:val="NoSpacing"/>
                      <w:jc w:val="center"/>
                      <w:rPr>
                        <w:b/>
                        <w:bCs/>
                      </w:rPr>
                    </w:pPr>
                    <w:r>
                      <w:rPr>
                        <w:b/>
                        <w:bCs/>
                      </w:rPr>
                      <w:t>9/9/12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E33AF4" w:rsidRDefault="00EE5E50" w:rsidP="00E33AF4">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ED0A18" w:rsidRDefault="00DA087B" w:rsidP="00ED0A18">
      <w:pPr>
        <w:spacing w:line="360" w:lineRule="auto"/>
        <w:jc w:val="both"/>
        <w:rPr>
          <w:rFonts w:ascii="Times New Roman" w:hAnsi="Times New Roman" w:cs="Times New Roman"/>
          <w:sz w:val="24"/>
        </w:rPr>
      </w:pPr>
      <w:r>
        <w:rPr>
          <w:rFonts w:ascii="Times New Roman" w:hAnsi="Times New Roman" w:cs="Times New Roman"/>
          <w:sz w:val="24"/>
        </w:rPr>
        <w:t xml:space="preserve">This week work was done in identifying the component of Bankng Data Warehouse model. </w:t>
      </w:r>
      <w:r w:rsidR="00ED0A18" w:rsidRPr="00ED0A18">
        <w:rPr>
          <w:rFonts w:ascii="Times New Roman" w:hAnsi="Times New Roman" w:cs="Times New Roman"/>
          <w:sz w:val="24"/>
        </w:rPr>
        <w:t>As a BI infrastructure supporting multiple lines of business and analytical</w:t>
      </w:r>
      <w:r w:rsidR="00ED0A18">
        <w:rPr>
          <w:rFonts w:ascii="Times New Roman" w:hAnsi="Times New Roman" w:cs="Times New Roman"/>
          <w:sz w:val="24"/>
        </w:rPr>
        <w:t xml:space="preserve"> </w:t>
      </w:r>
      <w:r w:rsidR="00ED0A18" w:rsidRPr="00ED0A18">
        <w:rPr>
          <w:rFonts w:ascii="Times New Roman" w:hAnsi="Times New Roman" w:cs="Times New Roman"/>
          <w:sz w:val="24"/>
        </w:rPr>
        <w:t>functions within the financial institution, BDW is an entity relationship data</w:t>
      </w:r>
      <w:r w:rsidR="00ED0A18">
        <w:rPr>
          <w:rFonts w:ascii="Times New Roman" w:hAnsi="Times New Roman" w:cs="Times New Roman"/>
          <w:sz w:val="24"/>
        </w:rPr>
        <w:t xml:space="preserve"> </w:t>
      </w:r>
      <w:r w:rsidR="00ED0A18" w:rsidRPr="00ED0A18">
        <w:rPr>
          <w:rFonts w:ascii="Times New Roman" w:hAnsi="Times New Roman" w:cs="Times New Roman"/>
          <w:sz w:val="24"/>
        </w:rPr>
        <w:t>model that provides the atomic data needed for a data warehouse. The aim of</w:t>
      </w:r>
      <w:r w:rsidR="00ED0A18">
        <w:rPr>
          <w:rFonts w:ascii="Times New Roman" w:hAnsi="Times New Roman" w:cs="Times New Roman"/>
          <w:sz w:val="24"/>
        </w:rPr>
        <w:t xml:space="preserve"> </w:t>
      </w:r>
      <w:r w:rsidR="00ED0A18" w:rsidRPr="00ED0A18">
        <w:rPr>
          <w:rFonts w:ascii="Times New Roman" w:hAnsi="Times New Roman" w:cs="Times New Roman"/>
          <w:sz w:val="24"/>
        </w:rPr>
        <w:t>this shared infrastructure is to provide a data integration hub that will reduce the</w:t>
      </w:r>
      <w:r w:rsidR="00ED0A18">
        <w:rPr>
          <w:rFonts w:ascii="Times New Roman" w:hAnsi="Times New Roman" w:cs="Times New Roman"/>
          <w:sz w:val="24"/>
        </w:rPr>
        <w:t xml:space="preserve"> </w:t>
      </w:r>
      <w:r w:rsidR="00ED0A18" w:rsidRPr="00ED0A18">
        <w:rPr>
          <w:rFonts w:ascii="Times New Roman" w:hAnsi="Times New Roman" w:cs="Times New Roman"/>
          <w:sz w:val="24"/>
        </w:rPr>
        <w:t>development and operational costs in providing BI functionality to the myriad of</w:t>
      </w:r>
      <w:r w:rsidR="00ED0A18">
        <w:rPr>
          <w:rFonts w:ascii="Times New Roman" w:hAnsi="Times New Roman" w:cs="Times New Roman"/>
          <w:sz w:val="24"/>
        </w:rPr>
        <w:t xml:space="preserve"> </w:t>
      </w:r>
      <w:r w:rsidR="00ED0A18" w:rsidRPr="00ED0A18">
        <w:rPr>
          <w:rFonts w:ascii="Times New Roman" w:hAnsi="Times New Roman" w:cs="Times New Roman"/>
          <w:sz w:val="24"/>
        </w:rPr>
        <w:t>front and back-office organization units. This is made possible by sourcing dataonce into a data-integration hub, and then reusing BI development and</w:t>
      </w:r>
      <w:r w:rsidR="00ED0A18">
        <w:rPr>
          <w:rFonts w:ascii="Times New Roman" w:hAnsi="Times New Roman" w:cs="Times New Roman"/>
          <w:sz w:val="24"/>
        </w:rPr>
        <w:t xml:space="preserve"> </w:t>
      </w:r>
      <w:r w:rsidR="00ED0A18" w:rsidRPr="00ED0A18">
        <w:rPr>
          <w:rFonts w:ascii="Times New Roman" w:hAnsi="Times New Roman" w:cs="Times New Roman"/>
          <w:sz w:val="24"/>
        </w:rPr>
        <w:t>operational skills and assets. The organization can then focus on managing the</w:t>
      </w:r>
      <w:r w:rsidR="00ED0A18">
        <w:rPr>
          <w:rFonts w:ascii="Times New Roman" w:hAnsi="Times New Roman" w:cs="Times New Roman"/>
          <w:sz w:val="24"/>
        </w:rPr>
        <w:t xml:space="preserve"> </w:t>
      </w:r>
      <w:r w:rsidR="00ED0A18" w:rsidRPr="00ED0A18">
        <w:rPr>
          <w:rFonts w:ascii="Times New Roman" w:hAnsi="Times New Roman" w:cs="Times New Roman"/>
          <w:sz w:val="24"/>
        </w:rPr>
        <w:t>transformation and distribution of consistent data used for BI across the lines of</w:t>
      </w:r>
      <w:r w:rsidR="00ED0A18">
        <w:rPr>
          <w:rFonts w:ascii="Times New Roman" w:hAnsi="Times New Roman" w:cs="Times New Roman"/>
          <w:sz w:val="24"/>
        </w:rPr>
        <w:t xml:space="preserve"> </w:t>
      </w:r>
      <w:r w:rsidR="00ED0A18" w:rsidRPr="00ED0A18">
        <w:rPr>
          <w:rFonts w:ascii="Times New Roman" w:hAnsi="Times New Roman" w:cs="Times New Roman"/>
          <w:sz w:val="24"/>
        </w:rPr>
        <w:t>business.</w:t>
      </w:r>
    </w:p>
    <w:p w:rsidR="00ED0A18" w:rsidRDefault="00ED0A18" w:rsidP="00ED0A18">
      <w:pPr>
        <w:spacing w:line="360" w:lineRule="auto"/>
        <w:jc w:val="both"/>
        <w:rPr>
          <w:rFonts w:ascii="Times New Roman" w:hAnsi="Times New Roman" w:cs="Times New Roman"/>
          <w:sz w:val="24"/>
        </w:rPr>
      </w:pPr>
      <w:r w:rsidRPr="00ED0A18">
        <w:rPr>
          <w:rFonts w:ascii="Times New Roman" w:hAnsi="Times New Roman" w:cs="Times New Roman"/>
          <w:sz w:val="24"/>
        </w:rPr>
        <w:t>BDW contains the data structures needed by a financial institution to support</w:t>
      </w:r>
      <w:r>
        <w:rPr>
          <w:rFonts w:ascii="Times New Roman" w:hAnsi="Times New Roman" w:cs="Times New Roman"/>
          <w:sz w:val="24"/>
        </w:rPr>
        <w:t xml:space="preserve"> </w:t>
      </w:r>
      <w:r w:rsidRPr="00ED0A18">
        <w:rPr>
          <w:rFonts w:ascii="Times New Roman" w:hAnsi="Times New Roman" w:cs="Times New Roman"/>
          <w:sz w:val="24"/>
        </w:rPr>
        <w:t>the approaches for credit risk, operational risk as well as the data structures</w:t>
      </w:r>
      <w:r>
        <w:rPr>
          <w:rFonts w:ascii="Times New Roman" w:hAnsi="Times New Roman" w:cs="Times New Roman"/>
          <w:sz w:val="24"/>
        </w:rPr>
        <w:t xml:space="preserve"> </w:t>
      </w:r>
      <w:r w:rsidRPr="00ED0A18">
        <w:rPr>
          <w:rFonts w:ascii="Times New Roman" w:hAnsi="Times New Roman" w:cs="Times New Roman"/>
          <w:sz w:val="24"/>
        </w:rPr>
        <w:t>needed to support market risk as defined in the Basel II/III Framework.</w:t>
      </w:r>
    </w:p>
    <w:p w:rsidR="007E167F" w:rsidRPr="007C40BF" w:rsidRDefault="007E167F" w:rsidP="00ED0A18">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NIL</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NIL.</w:t>
      </w:r>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 xml:space="preserve">The </w:t>
      </w:r>
      <w:r w:rsidR="00E03498">
        <w:rPr>
          <w:rFonts w:ascii="Times New Roman" w:hAnsi="Times New Roman" w:cs="Times New Roman"/>
          <w:sz w:val="24"/>
        </w:rPr>
        <w:t>progress of the work goes well. A suitable tier architecture needs to be defined to suit the mentioned needs.</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tab/>
      </w:r>
      <w:r>
        <w:tab/>
      </w:r>
      <w:r w:rsidRPr="00DE1FE2">
        <w:rPr>
          <w:rFonts w:ascii="Times New Roman" w:hAnsi="Times New Roman" w:cs="Times New Roman"/>
          <w:b/>
          <w:sz w:val="24"/>
        </w:rPr>
        <w:t>Venkatesan.M</w:t>
      </w:r>
      <w:r w:rsidRPr="00DE1FE2">
        <w:rPr>
          <w:rFonts w:ascii="Times New Roman" w:hAnsi="Times New Roman" w:cs="Times New Roman"/>
          <w:sz w:val="24"/>
        </w:rPr>
        <w:t xml:space="preserve">  M.tech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t>International Institute of Information Technology Bangalore.</w:t>
      </w:r>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40D"/>
    <w:multiLevelType w:val="hybridMultilevel"/>
    <w:tmpl w:val="DF984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rawingGridHorizontalSpacing w:val="110"/>
  <w:displayHorizontalDrawingGridEvery w:val="2"/>
  <w:characterSpacingControl w:val="doNotCompress"/>
  <w:compat/>
  <w:rsids>
    <w:rsidRoot w:val="00AC12B6"/>
    <w:rsid w:val="00005432"/>
    <w:rsid w:val="000079B5"/>
    <w:rsid w:val="00014875"/>
    <w:rsid w:val="00024C9C"/>
    <w:rsid w:val="00035CAF"/>
    <w:rsid w:val="00036C6C"/>
    <w:rsid w:val="000379EE"/>
    <w:rsid w:val="0004067B"/>
    <w:rsid w:val="000430B7"/>
    <w:rsid w:val="00052269"/>
    <w:rsid w:val="00053FA9"/>
    <w:rsid w:val="00056943"/>
    <w:rsid w:val="00060538"/>
    <w:rsid w:val="00063306"/>
    <w:rsid w:val="000640BA"/>
    <w:rsid w:val="00071D2C"/>
    <w:rsid w:val="0008759F"/>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26F64"/>
    <w:rsid w:val="00150C68"/>
    <w:rsid w:val="0015495F"/>
    <w:rsid w:val="00156840"/>
    <w:rsid w:val="00162EEF"/>
    <w:rsid w:val="0016784B"/>
    <w:rsid w:val="00182432"/>
    <w:rsid w:val="00187986"/>
    <w:rsid w:val="0019488E"/>
    <w:rsid w:val="00196267"/>
    <w:rsid w:val="001A61B2"/>
    <w:rsid w:val="001B33BE"/>
    <w:rsid w:val="001B7AFF"/>
    <w:rsid w:val="001C06AA"/>
    <w:rsid w:val="001D23FC"/>
    <w:rsid w:val="001D374C"/>
    <w:rsid w:val="001D6BA7"/>
    <w:rsid w:val="001F0C7D"/>
    <w:rsid w:val="001F2CB9"/>
    <w:rsid w:val="001F4AF1"/>
    <w:rsid w:val="001F5D77"/>
    <w:rsid w:val="00200B92"/>
    <w:rsid w:val="002074B0"/>
    <w:rsid w:val="00211296"/>
    <w:rsid w:val="00216A92"/>
    <w:rsid w:val="00222530"/>
    <w:rsid w:val="0022260F"/>
    <w:rsid w:val="00232494"/>
    <w:rsid w:val="0024123F"/>
    <w:rsid w:val="00243CE9"/>
    <w:rsid w:val="002612EE"/>
    <w:rsid w:val="00261356"/>
    <w:rsid w:val="002630FB"/>
    <w:rsid w:val="00275E77"/>
    <w:rsid w:val="00284512"/>
    <w:rsid w:val="00285A59"/>
    <w:rsid w:val="00286911"/>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2AA9"/>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A5FD2"/>
    <w:rsid w:val="004B0DF5"/>
    <w:rsid w:val="004B11CB"/>
    <w:rsid w:val="004B279D"/>
    <w:rsid w:val="004B2F8D"/>
    <w:rsid w:val="004B305D"/>
    <w:rsid w:val="004C1F57"/>
    <w:rsid w:val="004C2841"/>
    <w:rsid w:val="004C414B"/>
    <w:rsid w:val="004C5BD0"/>
    <w:rsid w:val="004D59F6"/>
    <w:rsid w:val="004D627A"/>
    <w:rsid w:val="004E08CB"/>
    <w:rsid w:val="004F131C"/>
    <w:rsid w:val="004F502E"/>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831F4"/>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07E"/>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E4BF8"/>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12B6"/>
    <w:rsid w:val="00AC227C"/>
    <w:rsid w:val="00AC3EB3"/>
    <w:rsid w:val="00AC5D99"/>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C56AF"/>
    <w:rsid w:val="00BD3495"/>
    <w:rsid w:val="00BD424C"/>
    <w:rsid w:val="00BD5161"/>
    <w:rsid w:val="00BF042B"/>
    <w:rsid w:val="00BF348C"/>
    <w:rsid w:val="00BF6082"/>
    <w:rsid w:val="00C11A8C"/>
    <w:rsid w:val="00C16B2A"/>
    <w:rsid w:val="00C17040"/>
    <w:rsid w:val="00C360FA"/>
    <w:rsid w:val="00C475F1"/>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087B"/>
    <w:rsid w:val="00DA2454"/>
    <w:rsid w:val="00DC294D"/>
    <w:rsid w:val="00DD714C"/>
    <w:rsid w:val="00DE1D63"/>
    <w:rsid w:val="00DE1FE2"/>
    <w:rsid w:val="00DF07C2"/>
    <w:rsid w:val="00DF2AF8"/>
    <w:rsid w:val="00E0164D"/>
    <w:rsid w:val="00E03498"/>
    <w:rsid w:val="00E07CAF"/>
    <w:rsid w:val="00E16C32"/>
    <w:rsid w:val="00E24C95"/>
    <w:rsid w:val="00E30FAB"/>
    <w:rsid w:val="00E330E7"/>
    <w:rsid w:val="00E33AF4"/>
    <w:rsid w:val="00E41F72"/>
    <w:rsid w:val="00E432F3"/>
    <w:rsid w:val="00E4461B"/>
    <w:rsid w:val="00E53C85"/>
    <w:rsid w:val="00E56F99"/>
    <w:rsid w:val="00E6062F"/>
    <w:rsid w:val="00E6636B"/>
    <w:rsid w:val="00E66A57"/>
    <w:rsid w:val="00E73905"/>
    <w:rsid w:val="00E75073"/>
    <w:rsid w:val="00E8155E"/>
    <w:rsid w:val="00E85E4D"/>
    <w:rsid w:val="00E86587"/>
    <w:rsid w:val="00EA1777"/>
    <w:rsid w:val="00EA3C2B"/>
    <w:rsid w:val="00EB01EB"/>
    <w:rsid w:val="00EC08CB"/>
    <w:rsid w:val="00EC79FC"/>
    <w:rsid w:val="00ED0A18"/>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 w:type="paragraph" w:styleId="ListParagraph">
    <w:name w:val="List Paragraph"/>
    <w:basedOn w:val="Normal"/>
    <w:uiPriority w:val="34"/>
    <w:qFormat/>
    <w:rsid w:val="00E33A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A1"/>
    <w:rsid w:val="001E11F3"/>
    <w:rsid w:val="004133A1"/>
    <w:rsid w:val="00481EDB"/>
    <w:rsid w:val="004B2EE3"/>
    <w:rsid w:val="00CA7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DE7A58DEF4F74A41294287C344877">
    <w:name w:val="E0EDE7A58DEF4F74A41294287C344877"/>
    <w:rsid w:val="001E11F3"/>
  </w:style>
  <w:style w:type="paragraph" w:customStyle="1" w:styleId="F3EA5E17350144B09A5F2B99CDE4AC04">
    <w:name w:val="F3EA5E17350144B09A5F2B99CDE4AC04"/>
    <w:rsid w:val="001E11F3"/>
  </w:style>
  <w:style w:type="paragraph" w:customStyle="1" w:styleId="96E779EAB03942AD995CA44AFA982DC1">
    <w:name w:val="96E779EAB03942AD995CA44AFA982DC1"/>
    <w:rsid w:val="001E11F3"/>
  </w:style>
  <w:style w:type="paragraph" w:customStyle="1" w:styleId="B032BD1E50314950A436530E87112175">
    <w:name w:val="B032BD1E50314950A436530E87112175"/>
    <w:rsid w:val="001E11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2012-09-09T00:00:00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5</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5</cp:revision>
  <dcterms:created xsi:type="dcterms:W3CDTF">2012-09-09T11:24:00Z</dcterms:created>
  <dcterms:modified xsi:type="dcterms:W3CDTF">2012-09-09T11:30:00Z</dcterms:modified>
</cp:coreProperties>
</file>