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placeholder>
                  <w:docPart w:val="383B1AACB99D401EA9D6ADCF0BA5DC3B"/>
                </w:placeholder>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alias w:val="Abstract"/>
                <w:id w:val="8276291"/>
                <w:placeholder>
                  <w:docPart w:val="229F9D942AD7491BA4A091706FF4D620"/>
                </w:placeholder>
                <w:showingPlcHdr/>
                <w:dataBinding w:prefixMappings="xmlns:ns0='http://schemas.microsoft.com/office/2006/coverPageProps'" w:xpath="/ns0:CoverPageProperties[1]/ns0:Abstract[1]" w:storeItemID="{55AF091B-3C7A-41E3-B477-F2FDAA23CFDA}"/>
                <w:text/>
              </w:sdtPr>
              <w:sdtContent>
                <w:tc>
                  <w:tcPr>
                    <w:tcW w:w="5000" w:type="pct"/>
                  </w:tcPr>
                  <w:p w:rsidR="002D12EF" w:rsidRDefault="002D12EF">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lastRenderedPageBreak/>
        <w:t>Proposed work:</w:t>
      </w:r>
    </w:p>
    <w:p w:rsidR="0024123F" w:rsidRPr="004B305D" w:rsidRDefault="00726C2F"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 Basel group has announced that banks should abide by the Basel III accord banking norms in a phased manner by 2019. The Reserve bank of India has </w:t>
      </w:r>
      <w:proofErr w:type="gramStart"/>
      <w:r w:rsidRPr="004B305D">
        <w:rPr>
          <w:rFonts w:ascii="Times New Roman" w:hAnsi="Times New Roman" w:cs="Times New Roman"/>
          <w:sz w:val="24"/>
        </w:rPr>
        <w:t>asked  the</w:t>
      </w:r>
      <w:proofErr w:type="gramEnd"/>
      <w:r w:rsidRPr="004B305D">
        <w:rPr>
          <w:rFonts w:ascii="Times New Roman" w:hAnsi="Times New Roman" w:cs="Times New Roman"/>
          <w:sz w:val="24"/>
        </w:rPr>
        <w:t xml:space="preserve"> banks in India to start following Basel III norms from January 2013.</w:t>
      </w:r>
    </w:p>
    <w:p w:rsidR="00726C2F" w:rsidRPr="004B305D" w:rsidRDefault="0024123F"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 Basel III accord is an extension of Basel II accord with some added and removed riders. There has been </w:t>
      </w:r>
      <w:proofErr w:type="gramStart"/>
      <w:r w:rsidRPr="004B305D">
        <w:rPr>
          <w:rFonts w:ascii="Times New Roman" w:hAnsi="Times New Roman" w:cs="Times New Roman"/>
          <w:sz w:val="24"/>
        </w:rPr>
        <w:t>a considerable research that are</w:t>
      </w:r>
      <w:proofErr w:type="gramEnd"/>
      <w:r w:rsidRPr="004B305D">
        <w:rPr>
          <w:rFonts w:ascii="Times New Roman" w:hAnsi="Times New Roman" w:cs="Times New Roman"/>
          <w:sz w:val="24"/>
        </w:rPr>
        <w:t xml:space="preserve"> happening in the data base side. Basel III accord needs multiple reporting of data from different modules of the business to keep track of the </w:t>
      </w:r>
      <w:proofErr w:type="gramStart"/>
      <w:r w:rsidRPr="004B305D">
        <w:rPr>
          <w:rFonts w:ascii="Times New Roman" w:hAnsi="Times New Roman" w:cs="Times New Roman"/>
          <w:sz w:val="24"/>
        </w:rPr>
        <w:t>necessary  capital</w:t>
      </w:r>
      <w:proofErr w:type="gramEnd"/>
      <w:r w:rsidRPr="004B305D">
        <w:rPr>
          <w:rFonts w:ascii="Times New Roman" w:hAnsi="Times New Roman" w:cs="Times New Roman"/>
          <w:sz w:val="24"/>
        </w:rPr>
        <w:t xml:space="preserve"> reserves.</w:t>
      </w:r>
      <w:r w:rsidR="00726C2F" w:rsidRPr="004B305D">
        <w:rPr>
          <w:rFonts w:ascii="Times New Roman" w:hAnsi="Times New Roman" w:cs="Times New Roman"/>
          <w:sz w:val="24"/>
        </w:rPr>
        <w:t xml:space="preserve"> </w:t>
      </w:r>
    </w:p>
    <w:p w:rsidR="004B305D" w:rsidRDefault="009B04BE" w:rsidP="004B305D">
      <w:pPr>
        <w:spacing w:line="360" w:lineRule="auto"/>
        <w:jc w:val="both"/>
        <w:rPr>
          <w:rFonts w:ascii="Times New Roman" w:hAnsi="Times New Roman" w:cs="Times New Roman"/>
          <w:sz w:val="24"/>
        </w:rPr>
      </w:pPr>
      <w:r w:rsidRPr="004B305D">
        <w:rPr>
          <w:rFonts w:ascii="Times New Roman" w:hAnsi="Times New Roman" w:cs="Times New Roman"/>
          <w:sz w:val="24"/>
        </w:rPr>
        <w:t xml:space="preserve">There is a need to align the data structures that drive risk and financial data. These are: Transactional </w:t>
      </w:r>
      <w:proofErr w:type="gramStart"/>
      <w:r w:rsidRPr="004B305D">
        <w:rPr>
          <w:rFonts w:ascii="Times New Roman" w:hAnsi="Times New Roman" w:cs="Times New Roman"/>
          <w:sz w:val="24"/>
        </w:rPr>
        <w:t>data ,</w:t>
      </w:r>
      <w:proofErr w:type="gramEnd"/>
      <w:r w:rsidRPr="004B305D">
        <w:rPr>
          <w:rFonts w:ascii="Times New Roman" w:hAnsi="Times New Roman" w:cs="Times New Roman"/>
          <w:sz w:val="24"/>
        </w:rPr>
        <w:t xml:space="preserve"> Asset Data and Customer Data. </w:t>
      </w:r>
      <w:r w:rsidR="004B305D" w:rsidRPr="004B305D">
        <w:rPr>
          <w:rFonts w:ascii="Times New Roman" w:hAnsi="Times New Roman" w:cs="Times New Roman"/>
          <w:sz w:val="24"/>
        </w:rPr>
        <w:t>Also n</w:t>
      </w:r>
      <w:r w:rsidRPr="004B305D">
        <w:rPr>
          <w:rFonts w:ascii="Times New Roman" w:hAnsi="Times New Roman" w:cs="Times New Roman"/>
          <w:sz w:val="24"/>
        </w:rPr>
        <w:t>ew terms such as Liquidity coverage ratio</w:t>
      </w:r>
      <w:r w:rsidR="004B305D" w:rsidRPr="004B305D">
        <w:rPr>
          <w:rFonts w:ascii="Times New Roman" w:hAnsi="Times New Roman" w:cs="Times New Roman"/>
          <w:sz w:val="24"/>
        </w:rPr>
        <w:t xml:space="preserve">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p>
    <w:p w:rsidR="002D12EF" w:rsidRDefault="004B305D" w:rsidP="002D12EF">
      <w:pPr>
        <w:spacing w:line="360" w:lineRule="auto"/>
        <w:jc w:val="both"/>
        <w:rPr>
          <w:rFonts w:ascii="Times New Roman" w:hAnsi="Times New Roman" w:cs="Times New Roman"/>
          <w:sz w:val="24"/>
        </w:rPr>
      </w:pPr>
      <w:r>
        <w:rPr>
          <w:rFonts w:ascii="Times New Roman" w:hAnsi="Times New Roman" w:cs="Times New Roman"/>
          <w:sz w:val="24"/>
        </w:rPr>
        <w:t xml:space="preserve">Data Ware house model will enable us capture data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from multiple reporting. </w:t>
      </w:r>
      <w:r w:rsidR="002074B0" w:rsidRPr="004B305D">
        <w:rPr>
          <w:rFonts w:ascii="Times New Roman" w:hAnsi="Times New Roman" w:cs="Times New Roman"/>
          <w:sz w:val="24"/>
        </w:rPr>
        <w:t>This work will outline the components of the Banking Data Warehouse (BDW) for Basel III and how they assist financial institutions to address the data modeling and data consolidation issues relating to the Basel III Capital Accord.</w:t>
      </w: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2D12EF" w:rsidRDefault="002D12EF" w:rsidP="002D12EF">
      <w:pPr>
        <w:spacing w:line="360" w:lineRule="auto"/>
        <w:jc w:val="both"/>
        <w:rPr>
          <w:rFonts w:ascii="Times New Roman" w:hAnsi="Times New Roman" w:cs="Times New Roman"/>
          <w:sz w:val="24"/>
        </w:rPr>
      </w:pPr>
    </w:p>
    <w:p w:rsidR="004F5DDF" w:rsidRPr="004B305D" w:rsidRDefault="004F5DDF" w:rsidP="002D12EF">
      <w:pPr>
        <w:spacing w:line="360" w:lineRule="auto"/>
        <w:jc w:val="both"/>
        <w:rPr>
          <w:rFonts w:ascii="Times New Roman" w:hAnsi="Times New Roman" w:cs="Times New Roman"/>
          <w:sz w:val="24"/>
        </w:rPr>
      </w:pPr>
      <w:r w:rsidRPr="004B305D">
        <w:rPr>
          <w:rFonts w:ascii="Times New Roman" w:hAnsi="Times New Roman" w:cs="Times New Roman"/>
          <w:sz w:val="24"/>
        </w:rPr>
        <w:lastRenderedPageBreak/>
        <w:t>Timeline:</w:t>
      </w:r>
    </w:p>
    <w:tbl>
      <w:tblPr>
        <w:tblStyle w:val="TableGrid"/>
        <w:tblW w:w="0" w:type="auto"/>
        <w:jc w:val="center"/>
        <w:tblLook w:val="04A0"/>
      </w:tblPr>
      <w:tblGrid>
        <w:gridCol w:w="703"/>
        <w:gridCol w:w="1296"/>
        <w:gridCol w:w="3330"/>
      </w:tblGrid>
      <w:tr w:rsidR="00F67D24" w:rsidRPr="004B305D" w:rsidTr="004F5DDF">
        <w:trPr>
          <w:jc w:val="center"/>
        </w:trPr>
        <w:tc>
          <w:tcPr>
            <w:tcW w:w="648" w:type="dxa"/>
          </w:tcPr>
          <w:p w:rsidR="00F67D24" w:rsidRPr="004B305D" w:rsidRDefault="00F67D24" w:rsidP="004B305D">
            <w:pPr>
              <w:spacing w:line="360" w:lineRule="auto"/>
              <w:rPr>
                <w:rFonts w:ascii="Times New Roman" w:hAnsi="Times New Roman" w:cs="Times New Roman"/>
                <w:sz w:val="24"/>
              </w:rPr>
            </w:pPr>
            <w:proofErr w:type="spellStart"/>
            <w:r w:rsidRPr="004B305D">
              <w:rPr>
                <w:rFonts w:ascii="Times New Roman" w:hAnsi="Times New Roman" w:cs="Times New Roman"/>
                <w:sz w:val="24"/>
              </w:rPr>
              <w:t>S.No</w:t>
            </w:r>
            <w:proofErr w:type="spellEnd"/>
          </w:p>
        </w:tc>
        <w:tc>
          <w:tcPr>
            <w:tcW w:w="1260"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Deliverables</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06.08.2012</w:t>
            </w:r>
          </w:p>
        </w:tc>
        <w:tc>
          <w:tcPr>
            <w:tcW w:w="3330" w:type="dxa"/>
          </w:tcPr>
          <w:p w:rsidR="004F5DDF"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Literature survey about the </w:t>
            </w:r>
          </w:p>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Data warehouse of Basel II </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3</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31.08.2012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Banking Data warehouse  support for Basel III</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4</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1.10.2012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Banking Data Warehouse Components</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5</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1.11.2012</w:t>
            </w:r>
          </w:p>
        </w:tc>
        <w:tc>
          <w:tcPr>
            <w:tcW w:w="3330" w:type="dxa"/>
          </w:tcPr>
          <w:p w:rsidR="004F5DDF"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Banking Data Warehouse for Industry Directives based on  </w:t>
            </w:r>
          </w:p>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Basel III</w:t>
            </w:r>
          </w:p>
        </w:tc>
      </w:tr>
      <w:tr w:rsidR="00F67D24" w:rsidRPr="004B305D" w:rsidTr="004F5DDF">
        <w:trPr>
          <w:jc w:val="center"/>
        </w:trPr>
        <w:tc>
          <w:tcPr>
            <w:tcW w:w="648"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6</w:t>
            </w:r>
          </w:p>
        </w:tc>
        <w:tc>
          <w:tcPr>
            <w:tcW w:w="126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r w:rsidR="00726C2F" w:rsidRPr="004B305D">
              <w:rPr>
                <w:rFonts w:ascii="Times New Roman" w:hAnsi="Times New Roman" w:cs="Times New Roman"/>
                <w:sz w:val="24"/>
              </w:rPr>
              <w:t>5.11</w:t>
            </w:r>
            <w:r w:rsidRPr="004B305D">
              <w:rPr>
                <w:rFonts w:ascii="Times New Roman" w:hAnsi="Times New Roman" w:cs="Times New Roman"/>
                <w:sz w:val="24"/>
              </w:rPr>
              <w:t>.2012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 xml:space="preserve"> Case Study </w:t>
            </w:r>
          </w:p>
        </w:tc>
      </w:tr>
      <w:tr w:rsidR="00726C2F" w:rsidRPr="004B305D" w:rsidTr="004F5DDF">
        <w:trPr>
          <w:jc w:val="center"/>
        </w:trPr>
        <w:tc>
          <w:tcPr>
            <w:tcW w:w="648"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7</w:t>
            </w:r>
          </w:p>
        </w:tc>
        <w:tc>
          <w:tcPr>
            <w:tcW w:w="1260"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1.12.2012</w:t>
            </w:r>
          </w:p>
        </w:tc>
        <w:tc>
          <w:tcPr>
            <w:tcW w:w="3330" w:type="dxa"/>
          </w:tcPr>
          <w:p w:rsidR="00726C2F" w:rsidRPr="004B305D" w:rsidRDefault="00726C2F" w:rsidP="004B305D">
            <w:pPr>
              <w:spacing w:line="360" w:lineRule="auto"/>
              <w:rPr>
                <w:rFonts w:ascii="Times New Roman" w:hAnsi="Times New Roman" w:cs="Times New Roman"/>
                <w:sz w:val="24"/>
              </w:rPr>
            </w:pPr>
            <w:r w:rsidRPr="004B305D">
              <w:rPr>
                <w:rFonts w:ascii="Times New Roman" w:hAnsi="Times New Roman" w:cs="Times New Roman"/>
                <w:sz w:val="24"/>
              </w:rPr>
              <w:t>Final Report.</w:t>
            </w:r>
          </w:p>
        </w:tc>
      </w:tr>
    </w:tbl>
    <w:p w:rsidR="00F67D24" w:rsidRDefault="00F67D24"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p>
    <w:p w:rsidR="00EE5E50" w:rsidRDefault="00EE5E50" w:rsidP="004B305D">
      <w:pPr>
        <w:spacing w:line="360" w:lineRule="auto"/>
        <w:rPr>
          <w:rFonts w:ascii="Times New Roman" w:hAnsi="Times New Roman" w:cs="Times New Roman"/>
          <w:sz w:val="24"/>
        </w:rPr>
      </w:pPr>
      <w:r>
        <w:rPr>
          <w:rFonts w:ascii="Times New Roman" w:hAnsi="Times New Roman" w:cs="Times New Roman"/>
          <w:sz w:val="24"/>
        </w:rPr>
        <w:lastRenderedPageBreak/>
        <w:t>Progress</w:t>
      </w:r>
      <w:r w:rsidR="007E167F">
        <w:rPr>
          <w:rFonts w:ascii="Times New Roman" w:hAnsi="Times New Roman" w:cs="Times New Roman"/>
          <w:sz w:val="24"/>
        </w:rPr>
        <w:t xml:space="preserve"> Summary</w:t>
      </w:r>
    </w:p>
    <w:p w:rsidR="007E167F" w:rsidRDefault="007E167F" w:rsidP="004B305D">
      <w:pPr>
        <w:spacing w:line="360" w:lineRule="auto"/>
        <w:rPr>
          <w:rFonts w:ascii="Times New Roman" w:hAnsi="Times New Roman" w:cs="Times New Roman"/>
          <w:sz w:val="24"/>
        </w:rPr>
      </w:pP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Some concepts took more time to understand.</w:t>
      </w:r>
    </w:p>
    <w:p w:rsidR="007E167F" w:rsidRDefault="007E167F" w:rsidP="004B305D">
      <w:pPr>
        <w:spacing w:line="360" w:lineRule="auto"/>
        <w:rPr>
          <w:rFonts w:ascii="Times New Roman" w:hAnsi="Times New Roman" w:cs="Times New Roman"/>
          <w:sz w:val="24"/>
        </w:rPr>
      </w:pPr>
    </w:p>
    <w:p w:rsidR="00295826" w:rsidRDefault="00295826" w:rsidP="004B305D">
      <w:pPr>
        <w:spacing w:line="360" w:lineRule="auto"/>
        <w:rPr>
          <w:rFonts w:ascii="Times New Roman" w:hAnsi="Times New Roman" w:cs="Times New Roman"/>
          <w:sz w:val="24"/>
        </w:rPr>
      </w:pPr>
      <w:r>
        <w:rPr>
          <w:rFonts w:ascii="Times New Roman" w:hAnsi="Times New Roman" w:cs="Times New Roman"/>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t>More time has to be spent in understanding the IBM data warehouse architecture for Basel II. The deliverables for the upcoming deadline will be met.</w:t>
      </w:r>
    </w:p>
    <w:p w:rsidR="00295826" w:rsidRPr="004B305D" w:rsidRDefault="00295826" w:rsidP="004B305D">
      <w:pPr>
        <w:spacing w:line="360" w:lineRule="auto"/>
        <w:rPr>
          <w:rFonts w:ascii="Times New Roman" w:hAnsi="Times New Roman" w:cs="Times New Roman"/>
          <w:sz w:val="24"/>
        </w:rPr>
      </w:pPr>
    </w:p>
    <w:sectPr w:rsidR="00295826" w:rsidRPr="004B305D"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3B60"/>
    <w:rsid w:val="008F1C8A"/>
    <w:rsid w:val="008F57E8"/>
    <w:rsid w:val="00911BC6"/>
    <w:rsid w:val="00930C11"/>
    <w:rsid w:val="0093747B"/>
    <w:rsid w:val="00942812"/>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000000"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000000"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E7D1443B8D5641388B7A3DCFF0B10ACF"/>
        <w:category>
          <w:name w:val="General"/>
          <w:gallery w:val="placeholder"/>
        </w:category>
        <w:types>
          <w:type w:val="bbPlcHdr"/>
        </w:types>
        <w:behaviors>
          <w:behavior w:val="content"/>
        </w:behaviors>
        <w:guid w:val="{3482F137-2F33-43D8-B7F9-0BF9C97E307B}"/>
      </w:docPartPr>
      <w:docPartBody>
        <w:p w:rsidR="00000000" w:rsidRDefault="00266655" w:rsidP="00266655">
          <w:pPr>
            <w:pStyle w:val="E7D1443B8D5641388B7A3DCFF0B10ACF"/>
          </w:pPr>
          <w:r>
            <w:rPr>
              <w:b/>
              <w:bCs/>
            </w:rPr>
            <w:t>[Type the author name]</w:t>
          </w:r>
        </w:p>
      </w:docPartBody>
    </w:docPart>
    <w:docPart>
      <w:docPartPr>
        <w:name w:val="383B1AACB99D401EA9D6ADCF0BA5DC3B"/>
        <w:category>
          <w:name w:val="General"/>
          <w:gallery w:val="placeholder"/>
        </w:category>
        <w:types>
          <w:type w:val="bbPlcHdr"/>
        </w:types>
        <w:behaviors>
          <w:behavior w:val="content"/>
        </w:behaviors>
        <w:guid w:val="{295FC7FB-882A-48AC-B10F-F0CAC8CFEEF8}"/>
      </w:docPartPr>
      <w:docPartBody>
        <w:p w:rsidR="00000000" w:rsidRDefault="00266655" w:rsidP="00266655">
          <w:pPr>
            <w:pStyle w:val="383B1AACB99D401EA9D6ADCF0BA5DC3B"/>
          </w:pPr>
          <w:r>
            <w:rPr>
              <w:b/>
              <w:bCs/>
            </w:rPr>
            <w:t>[Pick the date]</w:t>
          </w:r>
        </w:p>
      </w:docPartBody>
    </w:docPart>
    <w:docPart>
      <w:docPartPr>
        <w:name w:val="229F9D942AD7491BA4A091706FF4D620"/>
        <w:category>
          <w:name w:val="General"/>
          <w:gallery w:val="placeholder"/>
        </w:category>
        <w:types>
          <w:type w:val="bbPlcHdr"/>
        </w:types>
        <w:behaviors>
          <w:behavior w:val="content"/>
        </w:behaviors>
        <w:guid w:val="{1B6A2232-CF9F-4B8F-B2EE-9C248DB1EE7A}"/>
      </w:docPartPr>
      <w:docPartBody>
        <w:p w:rsidR="00000000" w:rsidRDefault="00266655" w:rsidP="00266655">
          <w:pPr>
            <w:pStyle w:val="229F9D942AD7491BA4A091706FF4D620"/>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000000"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266655"/>
    <w:rsid w:val="002D4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2</cp:revision>
  <dcterms:created xsi:type="dcterms:W3CDTF">2012-08-01T09:17:00Z</dcterms:created>
  <dcterms:modified xsi:type="dcterms:W3CDTF">2012-08-01T09:17:00Z</dcterms:modified>
</cp:coreProperties>
</file>