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Review Memo</w:t>
      </w:r>
    </w:p>
    <w:p>
      <w:r>
        <w:t>Case: RC-2026-7043</w:t>
      </w:r>
    </w:p>
    <w:p>
      <w:r>
        <w:t>Merchant: Pinecrest Dental Group PLLC (MID 800034567890)</w:t>
      </w:r>
    </w:p>
    <w:p>
      <w:r>
        <w:t>Analyst: J. Ortiz</w:t>
      </w:r>
    </w:p>
    <w:p>
      <w:r>
        <w:t>Review date: 2026-09-10</w:t>
      </w:r>
    </w:p>
    <w:p/>
    <w:p>
      <w:r>
        <w:t>Risk review summary</w:t>
      </w:r>
    </w:p>
    <w:p>
      <w:r>
        <w:t>We saw bursts of small-dollar authorizations from a handful of IP ranges. The chargeback ratio reached 3.2% last month, well above the program threshold. No prior cases are open on this relationship. Site visit completed; the storefront matches the application. Owner SSN 987-65-4320 confirmed.</w:t>
      </w:r>
    </w:p>
    <w:p/>
    <w:p>
      <w:r>
        <w:t>Recommendation: monitor</w:t>
      </w:r>
    </w:p>
    <w:p>
      <w:r>
        <w:t>Exposure estimate: $121,800.00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Chargeback ratio (90d)</w:t>
            </w:r>
          </w:p>
        </w:tc>
        <w:tc>
          <w:tcPr>
            <w:tcW w:type="dxa" w:w="4320"/>
          </w:tcPr>
          <w:p>
            <w:r>
              <w:t>1.9%</w:t>
            </w:r>
          </w:p>
        </w:tc>
      </w:tr>
      <w:tr>
        <w:tc>
          <w:tcPr>
            <w:tcW w:type="dxa" w:w="4320"/>
          </w:tcPr>
          <w:p>
            <w:r>
              <w:t>Reserve held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