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employee-handbook"/>
    <w:p>
      <w:pPr>
        <w:pStyle w:val="Heading1"/>
      </w:pPr>
      <w:r>
        <w:t xml:space="preserve">Employee Handbook</w:t>
      </w:r>
    </w:p>
    <w:p>
      <w:pPr>
        <w:pStyle w:val="FirstParagraph"/>
      </w:pPr>
      <w:r>
        <w:rPr>
          <w:bCs/>
          <w:b/>
        </w:rPr>
        <w:t xml:space="preserve">Document Owner:</w:t>
      </w:r>
      <w:r>
        <w:t xml:space="preserve"> </w:t>
      </w:r>
      <w:r>
        <w:t xml:space="preserve">Human Resources Department</w:t>
      </w:r>
      <w:r>
        <w:t xml:space="preserve"> </w:t>
      </w:r>
      <w:r>
        <w:rPr>
          <w:bCs/>
          <w:b/>
        </w:rPr>
        <w:t xml:space="preserve">Effective Date:</w:t>
      </w:r>
      <w:r>
        <w:t xml:space="preserve"> </w:t>
      </w:r>
      <w:r>
        <w:t xml:space="preserve">January 1, 2025</w:t>
      </w:r>
      <w:r>
        <w:t xml:space="preserve"> </w:t>
      </w:r>
      <w:r>
        <w:rPr>
          <w:bCs/>
          <w:b/>
        </w:rPr>
        <w:t xml:space="preserve">Applies To:</w:t>
      </w:r>
      <w:r>
        <w:t xml:space="preserve"> </w:t>
      </w:r>
      <w:r>
        <w:t xml:space="preserve">All employees of NimbusTech Solutions Pvt. Ltd.</w:t>
      </w:r>
    </w:p>
    <w:bookmarkStart w:id="20" w:name="welcome"/>
    <w:p>
      <w:pPr>
        <w:pStyle w:val="Heading2"/>
      </w:pPr>
      <w:r>
        <w:t xml:space="preserve">1. Welcome</w:t>
      </w:r>
    </w:p>
    <w:p>
      <w:pPr>
        <w:pStyle w:val="FirstParagraph"/>
      </w:pPr>
      <w:r>
        <w:t xml:space="preserve">Welcome to NimbusTech Solutions! This handbook summarizes the key policies,</w:t>
      </w:r>
      <w:r>
        <w:t xml:space="preserve"> </w:t>
      </w:r>
      <w:r>
        <w:t xml:space="preserve">benefits, and expectations that apply during your employment. It should be</w:t>
      </w:r>
      <w:r>
        <w:t xml:space="preserve"> </w:t>
      </w:r>
      <w:r>
        <w:t xml:space="preserve">read alongside the detailed Leave Policy, IT Policy, Travel Policy, and</w:t>
      </w:r>
      <w:r>
        <w:t xml:space="preserve"> </w:t>
      </w:r>
      <w:r>
        <w:t xml:space="preserve">Code of Conduct documents.</w:t>
      </w:r>
    </w:p>
    <w:bookmarkEnd w:id="20"/>
    <w:bookmarkStart w:id="21" w:name="working-hours"/>
    <w:p>
      <w:pPr>
        <w:pStyle w:val="Heading2"/>
      </w:pPr>
      <w:r>
        <w:t xml:space="preserve">2. Working Hours</w:t>
      </w:r>
    </w:p>
    <w:p>
      <w:pPr>
        <w:numPr>
          <w:ilvl w:val="0"/>
          <w:numId w:val="1001"/>
        </w:numPr>
        <w:pStyle w:val="Compact"/>
      </w:pPr>
      <w:r>
        <w:t xml:space="preserve">Standard working hours are</w:t>
      </w:r>
      <w:r>
        <w:t xml:space="preserve"> </w:t>
      </w:r>
      <w:r>
        <w:rPr>
          <w:bCs/>
          <w:b/>
        </w:rPr>
        <w:t xml:space="preserve">9:30 AM to 6:30 PM, Monday to Friday</w:t>
      </w:r>
      <w:r>
        <w:t xml:space="preserve">, with a</w:t>
      </w:r>
      <w:r>
        <w:t xml:space="preserve"> </w:t>
      </w:r>
      <w:r>
        <w:t xml:space="preserve">1-hour lunch break.</w:t>
      </w:r>
    </w:p>
    <w:p>
      <w:pPr>
        <w:numPr>
          <w:ilvl w:val="0"/>
          <w:numId w:val="1001"/>
        </w:numPr>
        <w:pStyle w:val="Compact"/>
      </w:pPr>
      <w:r>
        <w:t xml:space="preserve">NimbusTech follows a</w:t>
      </w:r>
      <w:r>
        <w:t xml:space="preserve"> </w:t>
      </w:r>
      <w:r>
        <w:rPr>
          <w:bCs/>
          <w:b/>
        </w:rPr>
        <w:t xml:space="preserve">flexible working hours policy</w:t>
      </w:r>
      <w:r>
        <w:t xml:space="preserve">, allowing employees</w:t>
      </w:r>
      <w:r>
        <w:t xml:space="preserve"> </w:t>
      </w:r>
      <w:r>
        <w:t xml:space="preserve">to start between 8:30 AM and 10:30 AM as long as they complete 8 productive</w:t>
      </w:r>
      <w:r>
        <w:t xml:space="preserve"> </w:t>
      </w:r>
      <w:r>
        <w:t xml:space="preserve">hours.</w:t>
      </w:r>
    </w:p>
    <w:p>
      <w:pPr>
        <w:numPr>
          <w:ilvl w:val="0"/>
          <w:numId w:val="1001"/>
        </w:numPr>
        <w:pStyle w:val="Compact"/>
      </w:pPr>
      <w:r>
        <w:t xml:space="preserve">Employees working in hybrid roles must be present in office at least</w:t>
      </w:r>
      <w:r>
        <w:t xml:space="preserve"> </w:t>
      </w:r>
      <w:r>
        <w:rPr>
          <w:bCs/>
          <w:b/>
        </w:rPr>
        <w:t xml:space="preserve">3 days per week</w:t>
      </w:r>
      <w:r>
        <w:t xml:space="preserve">, as communicated by their department head.</w:t>
      </w:r>
    </w:p>
    <w:bookmarkEnd w:id="21"/>
    <w:bookmarkStart w:id="22" w:name="probation-period"/>
    <w:p>
      <w:pPr>
        <w:pStyle w:val="Heading2"/>
      </w:pPr>
      <w:r>
        <w:t xml:space="preserve">3. Probation Period</w:t>
      </w:r>
    </w:p>
    <w:p>
      <w:pPr>
        <w:numPr>
          <w:ilvl w:val="0"/>
          <w:numId w:val="1002"/>
        </w:numPr>
        <w:pStyle w:val="Compact"/>
      </w:pPr>
      <w:r>
        <w:t xml:space="preserve">New employees undergo a probation period of</w:t>
      </w:r>
      <w:r>
        <w:t xml:space="preserve"> </w:t>
      </w:r>
      <w:r>
        <w:rPr>
          <w:bCs/>
          <w:b/>
        </w:rPr>
        <w:t xml:space="preserve">6 months</w:t>
      </w:r>
      <w:r>
        <w:t xml:space="preserve"> </w:t>
      </w:r>
      <w:r>
        <w:t xml:space="preserve">from the date of joining.</w:t>
      </w:r>
    </w:p>
    <w:p>
      <w:pPr>
        <w:numPr>
          <w:ilvl w:val="0"/>
          <w:numId w:val="1002"/>
        </w:numPr>
        <w:pStyle w:val="Compact"/>
      </w:pPr>
      <w:r>
        <w:t xml:space="preserve">Performance is reviewed at the</w:t>
      </w:r>
      <w:r>
        <w:t xml:space="preserve"> </w:t>
      </w:r>
      <w:r>
        <w:rPr>
          <w:bCs/>
          <w:b/>
        </w:rPr>
        <w:t xml:space="preserve">3-month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6-month</w:t>
      </w:r>
      <w:r>
        <w:t xml:space="preserve"> </w:t>
      </w:r>
      <w:r>
        <w:t xml:space="preserve">marks.</w:t>
      </w:r>
    </w:p>
    <w:p>
      <w:pPr>
        <w:numPr>
          <w:ilvl w:val="0"/>
          <w:numId w:val="1002"/>
        </w:numPr>
        <w:pStyle w:val="Compact"/>
      </w:pPr>
      <w:r>
        <w:t xml:space="preserve">Confirmation letters are issued upon successful completion of probation.</w:t>
      </w:r>
    </w:p>
    <w:bookmarkEnd w:id="22"/>
    <w:bookmarkStart w:id="23" w:name="onboarding"/>
    <w:p>
      <w:pPr>
        <w:pStyle w:val="Heading2"/>
      </w:pPr>
      <w:r>
        <w:t xml:space="preserve">4. Onboarding</w:t>
      </w:r>
    </w:p>
    <w:p>
      <w:pPr>
        <w:numPr>
          <w:ilvl w:val="0"/>
          <w:numId w:val="1003"/>
        </w:numPr>
        <w:pStyle w:val="Compact"/>
      </w:pPr>
      <w:r>
        <w:t xml:space="preserve">New employees receive laptop, ID card, and system access within the first week.</w:t>
      </w:r>
    </w:p>
    <w:p>
      <w:pPr>
        <w:numPr>
          <w:ilvl w:val="0"/>
          <w:numId w:val="1003"/>
        </w:numPr>
        <w:pStyle w:val="Compact"/>
      </w:pPr>
      <w:r>
        <w:t xml:space="preserve">A structured onboarding buddy is assigned for the first 30 days.</w:t>
      </w:r>
    </w:p>
    <w:p>
      <w:pPr>
        <w:numPr>
          <w:ilvl w:val="0"/>
          <w:numId w:val="1003"/>
        </w:numPr>
        <w:pStyle w:val="Compact"/>
      </w:pPr>
      <w:r>
        <w:t xml:space="preserve">Mandatory compliance training (IT Security, POSH, Code of Conduct) must be</w:t>
      </w:r>
      <w:r>
        <w:t xml:space="preserve"> </w:t>
      </w:r>
      <w:r>
        <w:t xml:space="preserve">completed within the first 2 weeks.</w:t>
      </w:r>
    </w:p>
    <w:bookmarkEnd w:id="23"/>
    <w:bookmarkStart w:id="24" w:name="performance-reviews"/>
    <w:p>
      <w:pPr>
        <w:pStyle w:val="Heading2"/>
      </w:pPr>
      <w:r>
        <w:t xml:space="preserve">5. Performance Reviews</w:t>
      </w:r>
    </w:p>
    <w:p>
      <w:pPr>
        <w:numPr>
          <w:ilvl w:val="0"/>
          <w:numId w:val="1004"/>
        </w:numPr>
        <w:pStyle w:val="Compact"/>
      </w:pPr>
      <w:r>
        <w:t xml:space="preserve">Formal performance reviews are conducted</w:t>
      </w:r>
      <w:r>
        <w:t xml:space="preserve"> </w:t>
      </w:r>
      <w:r>
        <w:rPr>
          <w:bCs/>
          <w:b/>
        </w:rPr>
        <w:t xml:space="preserve">twice a year</w:t>
      </w:r>
      <w:r>
        <w:t xml:space="preserve"> </w:t>
      </w:r>
      <w:r>
        <w:t xml:space="preserve">(April and October).</w:t>
      </w:r>
    </w:p>
    <w:p>
      <w:pPr>
        <w:numPr>
          <w:ilvl w:val="0"/>
          <w:numId w:val="1004"/>
        </w:numPr>
        <w:pStyle w:val="Compact"/>
      </w:pPr>
      <w:r>
        <w:t xml:space="preserve">Reviews are based on a combination of self-assessment, manager assessment,</w:t>
      </w:r>
      <w:r>
        <w:t xml:space="preserve"> </w:t>
      </w:r>
      <w:r>
        <w:t xml:space="preserve">and peer feedback (360-degree review for senior roles).</w:t>
      </w:r>
    </w:p>
    <w:p>
      <w:pPr>
        <w:numPr>
          <w:ilvl w:val="0"/>
          <w:numId w:val="1004"/>
        </w:numPr>
        <w:pStyle w:val="Compact"/>
      </w:pPr>
      <w:r>
        <w:t xml:space="preserve">Ratings directly influence annual increments and bonus payouts.</w:t>
      </w:r>
    </w:p>
    <w:bookmarkEnd w:id="24"/>
    <w:bookmarkStart w:id="25" w:name="compensation-and-payroll"/>
    <w:p>
      <w:pPr>
        <w:pStyle w:val="Heading2"/>
      </w:pPr>
      <w:r>
        <w:t xml:space="preserve">6. Compensation and Payroll</w:t>
      </w:r>
    </w:p>
    <w:p>
      <w:pPr>
        <w:numPr>
          <w:ilvl w:val="0"/>
          <w:numId w:val="1005"/>
        </w:numPr>
        <w:pStyle w:val="Compact"/>
      </w:pPr>
      <w:r>
        <w:t xml:space="preserve">Salaries are credited to employee bank accounts on the</w:t>
      </w:r>
      <w:r>
        <w:t xml:space="preserve"> </w:t>
      </w:r>
      <w:r>
        <w:rPr>
          <w:bCs/>
          <w:b/>
        </w:rPr>
        <w:t xml:space="preserve">last working day</w:t>
      </w:r>
      <w:r>
        <w:t xml:space="preserve"> </w:t>
      </w:r>
      <w:r>
        <w:t xml:space="preserve">of each month.</w:t>
      </w:r>
    </w:p>
    <w:p>
      <w:pPr>
        <w:numPr>
          <w:ilvl w:val="0"/>
          <w:numId w:val="1005"/>
        </w:numPr>
        <w:pStyle w:val="Compact"/>
      </w:pPr>
      <w:r>
        <w:t xml:space="preserve">Payslips are available on the HR portal by the 1st of the following month.</w:t>
      </w:r>
    </w:p>
    <w:p>
      <w:pPr>
        <w:numPr>
          <w:ilvl w:val="0"/>
          <w:numId w:val="1005"/>
        </w:numPr>
        <w:pStyle w:val="Compact"/>
      </w:pPr>
      <w:r>
        <w:t xml:space="preserve">Annual compensation reviews typically take effect from</w:t>
      </w:r>
      <w:r>
        <w:t xml:space="preserve"> </w:t>
      </w:r>
      <w:r>
        <w:rPr>
          <w:bCs/>
          <w:b/>
        </w:rPr>
        <w:t xml:space="preserve">April 1</w:t>
      </w:r>
      <w:r>
        <w:t xml:space="preserve">.</w:t>
      </w:r>
    </w:p>
    <w:bookmarkEnd w:id="25"/>
    <w:bookmarkStart w:id="26" w:name="employee-benefits"/>
    <w:p>
      <w:pPr>
        <w:pStyle w:val="Heading2"/>
      </w:pPr>
      <w:r>
        <w:t xml:space="preserve">7. Employee Benefits</w:t>
      </w:r>
    </w:p>
    <w:p>
      <w:pPr>
        <w:pStyle w:val="FirstParagraph"/>
      </w:pPr>
      <w:r>
        <w:t xml:space="preserve">Refer to the</w:t>
      </w:r>
      <w:r>
        <w:t xml:space="preserve"> </w:t>
      </w:r>
      <w:r>
        <w:rPr>
          <w:bCs/>
          <w:b/>
        </w:rPr>
        <w:t xml:space="preserve">Benefits Documentation</w:t>
      </w:r>
      <w:r>
        <w:t xml:space="preserve"> </w:t>
      </w:r>
      <w:r>
        <w:t xml:space="preserve">for full details. Key highlights:</w:t>
      </w:r>
    </w:p>
    <w:p>
      <w:pPr>
        <w:numPr>
          <w:ilvl w:val="0"/>
          <w:numId w:val="1006"/>
        </w:numPr>
        <w:pStyle w:val="Compact"/>
      </w:pPr>
      <w:r>
        <w:t xml:space="preserve">Group Health Insurance covering employee, spouse, and up to 2 children.</w:t>
      </w:r>
    </w:p>
    <w:p>
      <w:pPr>
        <w:numPr>
          <w:ilvl w:val="0"/>
          <w:numId w:val="1006"/>
        </w:numPr>
        <w:pStyle w:val="Compact"/>
      </w:pPr>
      <w:r>
        <w:t xml:space="preserve">Employee Provident Fund (EPF) contribution as per statutory requirements.</w:t>
      </w:r>
    </w:p>
    <w:p>
      <w:pPr>
        <w:numPr>
          <w:ilvl w:val="0"/>
          <w:numId w:val="1006"/>
        </w:numPr>
        <w:pStyle w:val="Compact"/>
      </w:pPr>
      <w:r>
        <w:t xml:space="preserve">Annual health check-up for employees above 30 years of age.</w:t>
      </w:r>
    </w:p>
    <w:bookmarkEnd w:id="26"/>
    <w:bookmarkStart w:id="27" w:name="resignation-and-notice-period"/>
    <w:p>
      <w:pPr>
        <w:pStyle w:val="Heading2"/>
      </w:pPr>
      <w:r>
        <w:t xml:space="preserve">8. Resignation and Notice Period</w:t>
      </w:r>
    </w:p>
    <w:p>
      <w:pPr>
        <w:numPr>
          <w:ilvl w:val="0"/>
          <w:numId w:val="1007"/>
        </w:numPr>
        <w:pStyle w:val="Compact"/>
      </w:pPr>
      <w:r>
        <w:t xml:space="preserve">The standard notice period is</w:t>
      </w:r>
      <w:r>
        <w:t xml:space="preserve"> </w:t>
      </w:r>
      <w:r>
        <w:rPr>
          <w:bCs/>
          <w:b/>
        </w:rPr>
        <w:t xml:space="preserve">60 days</w:t>
      </w:r>
      <w:r>
        <w:t xml:space="preserve"> </w:t>
      </w:r>
      <w:r>
        <w:t xml:space="preserve">for all confirmed employees.</w:t>
      </w:r>
    </w:p>
    <w:p>
      <w:pPr>
        <w:numPr>
          <w:ilvl w:val="0"/>
          <w:numId w:val="1007"/>
        </w:numPr>
        <w:pStyle w:val="Compact"/>
      </w:pPr>
      <w:r>
        <w:t xml:space="preserve">During probation, the notice period is</w:t>
      </w:r>
      <w:r>
        <w:t xml:space="preserve"> </w:t>
      </w:r>
      <w:r>
        <w:rPr>
          <w:bCs/>
          <w:b/>
        </w:rPr>
        <w:t xml:space="preserve">15 days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Employees may buy out the remaining notice period subject to manager approval,</w:t>
      </w:r>
      <w:r>
        <w:t xml:space="preserve"> </w:t>
      </w:r>
      <w:r>
        <w:t xml:space="preserve">by paying the equivalent of the unserved notice period’s basic salary.</w:t>
      </w:r>
    </w:p>
    <w:bookmarkEnd w:id="27"/>
    <w:bookmarkStart w:id="28" w:name="grievance-redressal"/>
    <w:p>
      <w:pPr>
        <w:pStyle w:val="Heading2"/>
      </w:pPr>
      <w:r>
        <w:t xml:space="preserve">9. Grievance Redressal</w:t>
      </w:r>
    </w:p>
    <w:p>
      <w:pPr>
        <w:numPr>
          <w:ilvl w:val="0"/>
          <w:numId w:val="1008"/>
        </w:numPr>
        <w:pStyle w:val="Compact"/>
      </w:pPr>
      <w:r>
        <w:t xml:space="preserve">Employees with workplace grievances should first raise the matter with their</w:t>
      </w:r>
      <w:r>
        <w:t xml:space="preserve"> </w:t>
      </w:r>
      <w:r>
        <w:t xml:space="preserve">reporting manager.</w:t>
      </w:r>
    </w:p>
    <w:p>
      <w:pPr>
        <w:numPr>
          <w:ilvl w:val="0"/>
          <w:numId w:val="1008"/>
        </w:numPr>
        <w:pStyle w:val="Compact"/>
      </w:pPr>
      <w:r>
        <w:t xml:space="preserve">If unresolved within 5 working days, employees may escalate to HR via</w:t>
      </w:r>
      <w:r>
        <w:t xml:space="preserve"> </w:t>
      </w:r>
      <w:r>
        <w:rPr>
          <w:bCs/>
          <w:b/>
        </w:rPr>
        <w:t xml:space="preserve">hr-grievance@nimbustech.example.com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Serious grievances may be escalated to the Ethics Committee.</w:t>
      </w:r>
    </w:p>
    <w:bookmarkEnd w:id="28"/>
    <w:bookmarkStart w:id="29" w:name="work-from-home-remote-work"/>
    <w:p>
      <w:pPr>
        <w:pStyle w:val="Heading2"/>
      </w:pPr>
      <w:r>
        <w:t xml:space="preserve">10. Work From Home / Remote Work</w:t>
      </w:r>
    </w:p>
    <w:p>
      <w:pPr>
        <w:numPr>
          <w:ilvl w:val="0"/>
          <w:numId w:val="1009"/>
        </w:numPr>
        <w:pStyle w:val="Compact"/>
      </w:pPr>
      <w:r>
        <w:t xml:space="preserve">Employees may request occasional Work From Home (WFH) via the HR portal,</w:t>
      </w:r>
      <w:r>
        <w:t xml:space="preserve"> </w:t>
      </w:r>
      <w:r>
        <w:t xml:space="preserve">subject to manager approval.</w:t>
      </w:r>
    </w:p>
    <w:p>
      <w:pPr>
        <w:numPr>
          <w:ilvl w:val="0"/>
          <w:numId w:val="1009"/>
        </w:numPr>
        <w:pStyle w:val="Compact"/>
      </w:pPr>
      <w:r>
        <w:t xml:space="preserve">Fully remote roles are evaluated on a case-by-case basis by the department head.</w:t>
      </w:r>
    </w:p>
    <w:bookmarkEnd w:id="29"/>
    <w:bookmarkStart w:id="30" w:name="code-of-conduct-and-it-policy"/>
    <w:p>
      <w:pPr>
        <w:pStyle w:val="Heading2"/>
      </w:pPr>
      <w:r>
        <w:t xml:space="preserve">11. Code of Conduct and IT Policy</w:t>
      </w:r>
    </w:p>
    <w:p>
      <w:pPr>
        <w:pStyle w:val="FirstParagraph"/>
      </w:pPr>
      <w:r>
        <w:t xml:space="preserve">All employees must adhere to the Code of Conduct and IT Policy documents,</w:t>
      </w:r>
      <w:r>
        <w:t xml:space="preserve"> </w:t>
      </w:r>
      <w:r>
        <w:t xml:space="preserve">which are considered an extension of this handbook.</w:t>
      </w:r>
    </w:p>
    <w:bookmarkEnd w:id="30"/>
    <w:bookmarkStart w:id="31" w:name="exit-process"/>
    <w:p>
      <w:pPr>
        <w:pStyle w:val="Heading2"/>
      </w:pPr>
      <w:r>
        <w:t xml:space="preserve">12. Exit Process</w:t>
      </w:r>
    </w:p>
    <w:p>
      <w:pPr>
        <w:numPr>
          <w:ilvl w:val="0"/>
          <w:numId w:val="1010"/>
        </w:numPr>
        <w:pStyle w:val="Compact"/>
      </w:pPr>
      <w:r>
        <w:t xml:space="preserve">Exiting employees must complete a</w:t>
      </w:r>
      <w:r>
        <w:t xml:space="preserve"> </w:t>
      </w:r>
      <w:r>
        <w:rPr>
          <w:bCs/>
          <w:b/>
        </w:rPr>
        <w:t xml:space="preserve">No Dues Clearance</w:t>
      </w:r>
      <w:r>
        <w:t xml:space="preserve"> </w:t>
      </w:r>
      <w:r>
        <w:t xml:space="preserve">across IT, Finance,</w:t>
      </w:r>
      <w:r>
        <w:t xml:space="preserve"> </w:t>
      </w:r>
      <w:r>
        <w:t xml:space="preserve">Admin, and HR before their last working day.</w:t>
      </w:r>
    </w:p>
    <w:p>
      <w:pPr>
        <w:numPr>
          <w:ilvl w:val="0"/>
          <w:numId w:val="1010"/>
        </w:numPr>
        <w:pStyle w:val="Compact"/>
      </w:pPr>
      <w:r>
        <w:t xml:space="preserve">Full and final settlement is processed within</w:t>
      </w:r>
      <w:r>
        <w:t xml:space="preserve"> </w:t>
      </w:r>
      <w:r>
        <w:rPr>
          <w:bCs/>
          <w:b/>
        </w:rPr>
        <w:t xml:space="preserve">45 days</w:t>
      </w:r>
      <w:r>
        <w:t xml:space="preserve"> </w:t>
      </w:r>
      <w:r>
        <w:t xml:space="preserve">of the last working day.</w:t>
      </w:r>
    </w:p>
    <w:p>
      <w:pPr>
        <w:numPr>
          <w:ilvl w:val="0"/>
          <w:numId w:val="1010"/>
        </w:numPr>
        <w:pStyle w:val="Compact"/>
      </w:pPr>
      <w:r>
        <w:t xml:space="preserve">An exit interview is conducted by HR to gather feedback.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2026-08-22T10:44:12Z</dcterms:created>
  <dcterms:modified xsi:type="dcterms:W3CDTF">2026-08-22T10:44:12Z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