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ravel-policy"/>
    <w:p>
      <w:pPr>
        <w:pStyle w:val="Heading1"/>
      </w:pPr>
      <w:r>
        <w:t xml:space="preserve">Travel Policy</w:t>
      </w:r>
    </w:p>
    <w:p>
      <w:pPr>
        <w:pStyle w:val="FirstParagraph"/>
      </w:pPr>
      <w:r>
        <w:rPr>
          <w:bCs/>
          <w:b/>
        </w:rPr>
        <w:t xml:space="preserve">Document Owner:</w:t>
      </w:r>
      <w:r>
        <w:t xml:space="preserve"> </w:t>
      </w:r>
      <w:r>
        <w:t xml:space="preserve">Finance &amp; Administration Department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January 1, 2025</w:t>
      </w:r>
      <w:r>
        <w:t xml:space="preserve"> </w:t>
      </w:r>
      <w:r>
        <w:rPr>
          <w:bCs/>
          <w:b/>
        </w:rPr>
        <w:t xml:space="preserve">Applies To:</w:t>
      </w:r>
      <w:r>
        <w:t xml:space="preserve"> </w:t>
      </w:r>
      <w:r>
        <w:t xml:space="preserve">All employees traveling for official business purposes.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governs domestic and international business travel, including</w:t>
      </w:r>
      <w:r>
        <w:t xml:space="preserve"> </w:t>
      </w:r>
      <w:r>
        <w:t xml:space="preserve">booking procedures, entitlements, and expense reimbursement.</w:t>
      </w:r>
    </w:p>
    <w:bookmarkEnd w:id="20"/>
    <w:bookmarkStart w:id="21" w:name="travel-approval"/>
    <w:p>
      <w:pPr>
        <w:pStyle w:val="Heading2"/>
      </w:pPr>
      <w:r>
        <w:t xml:space="preserve">2. Travel Approval</w:t>
      </w:r>
    </w:p>
    <w:p>
      <w:pPr>
        <w:numPr>
          <w:ilvl w:val="0"/>
          <w:numId w:val="1001"/>
        </w:numPr>
        <w:pStyle w:val="Compact"/>
      </w:pPr>
      <w:r>
        <w:t xml:space="preserve">All business travel must be approved by the reporting manager at least</w:t>
      </w:r>
      <w:r>
        <w:t xml:space="preserve"> </w:t>
      </w:r>
      <w:r>
        <w:rPr>
          <w:bCs/>
          <w:b/>
        </w:rPr>
        <w:t xml:space="preserve">5 working days</w:t>
      </w:r>
      <w:r>
        <w:t xml:space="preserve"> </w:t>
      </w:r>
      <w:r>
        <w:t xml:space="preserve">in advance for domestic travel and</w:t>
      </w:r>
      <w:r>
        <w:t xml:space="preserve"> </w:t>
      </w:r>
      <w:r>
        <w:rPr>
          <w:bCs/>
          <w:b/>
        </w:rPr>
        <w:t xml:space="preserve">10 working days</w:t>
      </w:r>
      <w:r>
        <w:t xml:space="preserve"> </w:t>
      </w:r>
      <w:r>
        <w:t xml:space="preserve">for international travel.</w:t>
      </w:r>
    </w:p>
    <w:p>
      <w:pPr>
        <w:numPr>
          <w:ilvl w:val="0"/>
          <w:numId w:val="1001"/>
        </w:numPr>
        <w:pStyle w:val="Compact"/>
      </w:pPr>
      <w:r>
        <w:t xml:space="preserve">Travel requests are submitted via the Travel Desk portal.</w:t>
      </w:r>
    </w:p>
    <w:bookmarkEnd w:id="21"/>
    <w:bookmarkStart w:id="25" w:name="booking-entitlements"/>
    <w:p>
      <w:pPr>
        <w:pStyle w:val="Heading2"/>
      </w:pPr>
      <w:r>
        <w:t xml:space="preserve">3. Booking Entitlements</w:t>
      </w:r>
    </w:p>
    <w:bookmarkStart w:id="22" w:name="air-travel"/>
    <w:p>
      <w:pPr>
        <w:pStyle w:val="Heading3"/>
      </w:pPr>
      <w:r>
        <w:t xml:space="preserve">3.1 Air Travel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26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Employee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Associate to Senior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 to Senior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Economy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and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Class (flights &gt; 5 hrs)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Class</w:t>
            </w:r>
          </w:p>
        </w:tc>
      </w:tr>
    </w:tbl>
    <w:bookmarkEnd w:id="22"/>
    <w:bookmarkStart w:id="23" w:name="rail-travel"/>
    <w:p>
      <w:pPr>
        <w:pStyle w:val="Heading3"/>
      </w:pPr>
      <w:r>
        <w:t xml:space="preserve">3.2 Rail Travel</w:t>
      </w:r>
    </w:p>
    <w:p>
      <w:pPr>
        <w:numPr>
          <w:ilvl w:val="0"/>
          <w:numId w:val="1002"/>
        </w:numPr>
        <w:pStyle w:val="Compact"/>
      </w:pPr>
      <w:r>
        <w:t xml:space="preserve">Employees may book</w:t>
      </w:r>
      <w:r>
        <w:t xml:space="preserve"> </w:t>
      </w:r>
      <w:r>
        <w:rPr>
          <w:bCs/>
          <w:b/>
        </w:rPr>
        <w:t xml:space="preserve">AC 2-Tier</w:t>
      </w:r>
      <w:r>
        <w:t xml:space="preserve"> </w:t>
      </w:r>
      <w:r>
        <w:t xml:space="preserve">or equivalent for domestic rail travel.</w:t>
      </w:r>
    </w:p>
    <w:p>
      <w:pPr>
        <w:numPr>
          <w:ilvl w:val="0"/>
          <w:numId w:val="1002"/>
        </w:numPr>
        <w:pStyle w:val="Compact"/>
      </w:pPr>
      <w:r>
        <w:t xml:space="preserve">Managers and above may book</w:t>
      </w:r>
      <w:r>
        <w:t xml:space="preserve"> </w:t>
      </w:r>
      <w:r>
        <w:rPr>
          <w:bCs/>
          <w:b/>
        </w:rPr>
        <w:t xml:space="preserve">AC 1st Class</w:t>
      </w:r>
      <w:r>
        <w:t xml:space="preserve">.</w:t>
      </w:r>
    </w:p>
    <w:bookmarkEnd w:id="23"/>
    <w:bookmarkStart w:id="24" w:name="hotel-accommodation"/>
    <w:p>
      <w:pPr>
        <w:pStyle w:val="Heading3"/>
      </w:pPr>
      <w:r>
        <w:t xml:space="preserve">3.3 Hotel Accommodation</w:t>
      </w:r>
    </w:p>
    <w:p>
      <w:pPr>
        <w:numPr>
          <w:ilvl w:val="0"/>
          <w:numId w:val="1003"/>
        </w:numPr>
        <w:pStyle w:val="Compact"/>
      </w:pPr>
      <w:r>
        <w:t xml:space="preserve">Domestic travel: up to</w:t>
      </w:r>
      <w:r>
        <w:t xml:space="preserve"> </w:t>
      </w:r>
      <w:r>
        <w:rPr>
          <w:bCs/>
          <w:b/>
        </w:rPr>
        <w:t xml:space="preserve">INR 8,000 per night</w:t>
      </w:r>
      <w:r>
        <w:t xml:space="preserve"> </w:t>
      </w:r>
      <w:r>
        <w:t xml:space="preserve">in Tier-1 cities,</w:t>
      </w:r>
      <w:r>
        <w:t xml:space="preserve"> </w:t>
      </w:r>
      <w:r>
        <w:rPr>
          <w:bCs/>
          <w:b/>
        </w:rPr>
        <w:t xml:space="preserve">INR 5,500</w:t>
      </w:r>
      <w:r>
        <w:t xml:space="preserve"> </w:t>
      </w:r>
      <w:r>
        <w:t xml:space="preserve">in Tier-2/3 cities.</w:t>
      </w:r>
    </w:p>
    <w:p>
      <w:pPr>
        <w:numPr>
          <w:ilvl w:val="0"/>
          <w:numId w:val="1003"/>
        </w:numPr>
        <w:pStyle w:val="Compact"/>
      </w:pPr>
      <w:r>
        <w:t xml:space="preserve">International travel: up to</w:t>
      </w:r>
      <w:r>
        <w:t xml:space="preserve"> </w:t>
      </w:r>
      <w:r>
        <w:rPr>
          <w:bCs/>
          <w:b/>
        </w:rPr>
        <w:t xml:space="preserve">USD 200 per night</w:t>
      </w:r>
      <w:r>
        <w:t xml:space="preserve">, subject to city-tier</w:t>
      </w:r>
      <w:r>
        <w:t xml:space="preserve"> </w:t>
      </w:r>
      <w:r>
        <w:t xml:space="preserve">guidelines published by Finance.</w:t>
      </w:r>
    </w:p>
    <w:bookmarkEnd w:id="24"/>
    <w:bookmarkEnd w:id="25"/>
    <w:bookmarkStart w:id="26" w:name="local-conveyance"/>
    <w:p>
      <w:pPr>
        <w:pStyle w:val="Heading2"/>
      </w:pPr>
      <w:r>
        <w:t xml:space="preserve">4. Local Conveyance</w:t>
      </w:r>
    </w:p>
    <w:p>
      <w:pPr>
        <w:numPr>
          <w:ilvl w:val="0"/>
          <w:numId w:val="1004"/>
        </w:numPr>
        <w:pStyle w:val="Compact"/>
      </w:pPr>
      <w:r>
        <w:t xml:space="preserve">Employees may use company-approved cab aggregators for airport transfers</w:t>
      </w:r>
      <w:r>
        <w:t xml:space="preserve"> </w:t>
      </w:r>
      <w:r>
        <w:t xml:space="preserve">and local commute during business travel.</w:t>
      </w:r>
    </w:p>
    <w:p>
      <w:pPr>
        <w:numPr>
          <w:ilvl w:val="0"/>
          <w:numId w:val="1004"/>
        </w:numPr>
        <w:pStyle w:val="Compact"/>
      </w:pPr>
      <w:r>
        <w:t xml:space="preserve">Reimbursement for personal vehicle use is capped at</w:t>
      </w:r>
      <w:r>
        <w:t xml:space="preserve"> </w:t>
      </w:r>
      <w:r>
        <w:rPr>
          <w:bCs/>
          <w:b/>
        </w:rPr>
        <w:t xml:space="preserve">INR 12 per km</w:t>
      </w:r>
      <w:r>
        <w:t xml:space="preserve">.</w:t>
      </w:r>
    </w:p>
    <w:bookmarkEnd w:id="26"/>
    <w:bookmarkStart w:id="27" w:name="daily-allowance-per-diem"/>
    <w:p>
      <w:pPr>
        <w:pStyle w:val="Heading2"/>
      </w:pPr>
      <w:r>
        <w:t xml:space="preserve">5. Daily Allowance (Per Diem)</w:t>
      </w:r>
    </w:p>
    <w:p>
      <w:pPr>
        <w:numPr>
          <w:ilvl w:val="0"/>
          <w:numId w:val="1005"/>
        </w:numPr>
        <w:pStyle w:val="Compact"/>
      </w:pPr>
      <w:r>
        <w:t xml:space="preserve">Domestic travel:</w:t>
      </w:r>
      <w:r>
        <w:t xml:space="preserve"> </w:t>
      </w:r>
      <w:r>
        <w:rPr>
          <w:bCs/>
          <w:b/>
        </w:rPr>
        <w:t xml:space="preserve">INR 1,500 per day</w:t>
      </w:r>
      <w:r>
        <w:t xml:space="preserve"> </w:t>
      </w:r>
      <w:r>
        <w:t xml:space="preserve">for meals and incidentals.</w:t>
      </w:r>
    </w:p>
    <w:p>
      <w:pPr>
        <w:numPr>
          <w:ilvl w:val="0"/>
          <w:numId w:val="1005"/>
        </w:numPr>
        <w:pStyle w:val="Compact"/>
      </w:pPr>
      <w:r>
        <w:t xml:space="preserve">International travel:</w:t>
      </w:r>
      <w:r>
        <w:t xml:space="preserve"> </w:t>
      </w:r>
      <w:r>
        <w:rPr>
          <w:bCs/>
          <w:b/>
        </w:rPr>
        <w:t xml:space="preserve">USD 60 per day</w:t>
      </w:r>
      <w:r>
        <w:t xml:space="preserve">, varying by country as per the</w:t>
      </w:r>
      <w:r>
        <w:t xml:space="preserve"> </w:t>
      </w:r>
      <w:r>
        <w:t xml:space="preserve">Finance per-diem chart.</w:t>
      </w:r>
    </w:p>
    <w:p>
      <w:pPr>
        <w:numPr>
          <w:ilvl w:val="0"/>
          <w:numId w:val="1005"/>
        </w:numPr>
        <w:pStyle w:val="Compact"/>
      </w:pPr>
      <w:r>
        <w:t xml:space="preserve">Per diem is not applicable when meals are provided by the client or hotel.</w:t>
      </w:r>
    </w:p>
    <w:bookmarkEnd w:id="27"/>
    <w:bookmarkStart w:id="28" w:name="expense-reimbursement"/>
    <w:p>
      <w:pPr>
        <w:pStyle w:val="Heading2"/>
      </w:pPr>
      <w:r>
        <w:t xml:space="preserve">6. Expense Reimbursement</w:t>
      </w:r>
    </w:p>
    <w:p>
      <w:pPr>
        <w:numPr>
          <w:ilvl w:val="0"/>
          <w:numId w:val="1006"/>
        </w:numPr>
        <w:pStyle w:val="Compact"/>
      </w:pPr>
      <w:r>
        <w:t xml:space="preserve">All travel expenses must be submitted through the Expense Management System</w:t>
      </w:r>
      <w:r>
        <w:t xml:space="preserve"> </w:t>
      </w:r>
      <w:r>
        <w:t xml:space="preserve">within</w:t>
      </w:r>
      <w:r>
        <w:t xml:space="preserve"> </w:t>
      </w:r>
      <w:r>
        <w:rPr>
          <w:bCs/>
          <w:b/>
        </w:rPr>
        <w:t xml:space="preserve">15 days</w:t>
      </w:r>
      <w:r>
        <w:t xml:space="preserve"> </w:t>
      </w:r>
      <w:r>
        <w:t xml:space="preserve">of returning from the trip.</w:t>
      </w:r>
    </w:p>
    <w:p>
      <w:pPr>
        <w:numPr>
          <w:ilvl w:val="0"/>
          <w:numId w:val="1006"/>
        </w:numPr>
        <w:pStyle w:val="Compact"/>
      </w:pPr>
      <w:r>
        <w:t xml:space="preserve">Original receipts/invoices are mandatory for expenses above</w:t>
      </w:r>
      <w:r>
        <w:t xml:space="preserve"> </w:t>
      </w:r>
      <w:r>
        <w:rPr>
          <w:bCs/>
          <w:b/>
        </w:rPr>
        <w:t xml:space="preserve">INR 500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Reimbursements are processed within</w:t>
      </w:r>
      <w:r>
        <w:t xml:space="preserve"> </w:t>
      </w:r>
      <w:r>
        <w:rPr>
          <w:bCs/>
          <w:b/>
        </w:rPr>
        <w:t xml:space="preserve">10 working days</w:t>
      </w:r>
      <w:r>
        <w:t xml:space="preserve"> </w:t>
      </w:r>
      <w:r>
        <w:t xml:space="preserve">of submission,</w:t>
      </w:r>
      <w:r>
        <w:t xml:space="preserve"> </w:t>
      </w:r>
      <w:r>
        <w:t xml:space="preserve">subject to manager approval.</w:t>
      </w:r>
    </w:p>
    <w:bookmarkEnd w:id="28"/>
    <w:bookmarkStart w:id="29" w:name="advances"/>
    <w:p>
      <w:pPr>
        <w:pStyle w:val="Heading2"/>
      </w:pPr>
      <w:r>
        <w:t xml:space="preserve">7. Advances</w:t>
      </w:r>
    </w:p>
    <w:p>
      <w:pPr>
        <w:numPr>
          <w:ilvl w:val="0"/>
          <w:numId w:val="1007"/>
        </w:numPr>
        <w:pStyle w:val="Compact"/>
      </w:pPr>
      <w:r>
        <w:t xml:space="preserve">Employees may request a travel advance of up to</w:t>
      </w:r>
      <w:r>
        <w:t xml:space="preserve"> </w:t>
      </w:r>
      <w:r>
        <w:rPr>
          <w:bCs/>
          <w:b/>
        </w:rPr>
        <w:t xml:space="preserve">75%</w:t>
      </w:r>
      <w:r>
        <w:t xml:space="preserve"> </w:t>
      </w:r>
      <w:r>
        <w:t xml:space="preserve">of the estimated</w:t>
      </w:r>
      <w:r>
        <w:t xml:space="preserve"> </w:t>
      </w:r>
      <w:r>
        <w:t xml:space="preserve">trip cost through the Travel Desk.</w:t>
      </w:r>
    </w:p>
    <w:p>
      <w:pPr>
        <w:numPr>
          <w:ilvl w:val="0"/>
          <w:numId w:val="1007"/>
        </w:numPr>
        <w:pStyle w:val="Compact"/>
      </w:pPr>
      <w:r>
        <w:t xml:space="preserve">Advances must be settled within 15 days of trip completion; unsettled</w:t>
      </w:r>
      <w:r>
        <w:t xml:space="preserve"> </w:t>
      </w:r>
      <w:r>
        <w:t xml:space="preserve">advances may be deducted from payroll.</w:t>
      </w:r>
    </w:p>
    <w:bookmarkEnd w:id="29"/>
    <w:bookmarkStart w:id="30" w:name="international-travel-requirements"/>
    <w:p>
      <w:pPr>
        <w:pStyle w:val="Heading2"/>
      </w:pPr>
      <w:r>
        <w:t xml:space="preserve">8. International Travel Requirements</w:t>
      </w:r>
    </w:p>
    <w:p>
      <w:pPr>
        <w:numPr>
          <w:ilvl w:val="0"/>
          <w:numId w:val="1008"/>
        </w:numPr>
        <w:pStyle w:val="Compact"/>
      </w:pPr>
      <w:r>
        <w:t xml:space="preserve">Employees must ensure a valid passport (with at least 6 months validity)</w:t>
      </w:r>
      <w:r>
        <w:t xml:space="preserve"> </w:t>
      </w:r>
      <w:r>
        <w:t xml:space="preserve">and necessary visas before booking international travel.</w:t>
      </w:r>
    </w:p>
    <w:p>
      <w:pPr>
        <w:numPr>
          <w:ilvl w:val="0"/>
          <w:numId w:val="1008"/>
        </w:numPr>
        <w:pStyle w:val="Compact"/>
      </w:pPr>
      <w:r>
        <w:t xml:space="preserve">Corporate travel insurance is mandatory and arranged by the Travel Desk.</w:t>
      </w:r>
    </w:p>
    <w:p>
      <w:pPr>
        <w:numPr>
          <w:ilvl w:val="0"/>
          <w:numId w:val="1008"/>
        </w:numPr>
        <w:pStyle w:val="Compact"/>
      </w:pPr>
      <w:r>
        <w:t xml:space="preserve">A safety briefing is required before travel to high-risk destinations, as</w:t>
      </w:r>
      <w:r>
        <w:t xml:space="preserve"> </w:t>
      </w:r>
      <w:r>
        <w:t xml:space="preserve">classified by the Security team.</w:t>
      </w:r>
    </w:p>
    <w:bookmarkEnd w:id="30"/>
    <w:bookmarkStart w:id="31" w:name="non-compliant-travel"/>
    <w:p>
      <w:pPr>
        <w:pStyle w:val="Heading2"/>
      </w:pPr>
      <w:r>
        <w:t xml:space="preserve">9. Non-Compliant Travel</w:t>
      </w:r>
    </w:p>
    <w:p>
      <w:pPr>
        <w:numPr>
          <w:ilvl w:val="0"/>
          <w:numId w:val="1009"/>
        </w:numPr>
        <w:pStyle w:val="Compact"/>
      </w:pPr>
      <w:r>
        <w:t xml:space="preserve">Bookings made outside the approved Travel Desk process without prior</w:t>
      </w:r>
      <w:r>
        <w:t xml:space="preserve"> </w:t>
      </w:r>
      <w:r>
        <w:t xml:space="preserve">exception approval will not be reimbursed.</w:t>
      </w:r>
    </w:p>
    <w:p>
      <w:pPr>
        <w:numPr>
          <w:ilvl w:val="0"/>
          <w:numId w:val="1009"/>
        </w:numPr>
        <w:pStyle w:val="Compact"/>
      </w:pPr>
      <w:r>
        <w:t xml:space="preserve">Upgrades or class changes made at the employee’s own discretion are not</w:t>
      </w:r>
      <w:r>
        <w:t xml:space="preserve"> </w:t>
      </w:r>
      <w:r>
        <w:t xml:space="preserve">reimbursable.</w:t>
      </w:r>
    </w:p>
    <w:bookmarkEnd w:id="31"/>
    <w:bookmarkStart w:id="32" w:name="contact"/>
    <w:p>
      <w:pPr>
        <w:pStyle w:val="Heading2"/>
      </w:pPr>
      <w:r>
        <w:t xml:space="preserve">10. Contact</w:t>
      </w:r>
    </w:p>
    <w:p>
      <w:pPr>
        <w:pStyle w:val="FirstParagraph"/>
      </w:pPr>
      <w:r>
        <w:t xml:space="preserve">For travel-related queries, contact</w:t>
      </w:r>
      <w:r>
        <w:t xml:space="preserve"> </w:t>
      </w:r>
      <w:r>
        <w:rPr>
          <w:bCs/>
          <w:b/>
        </w:rPr>
        <w:t xml:space="preserve">travel-desk@nimbustech.example.com</w:t>
      </w:r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2026-08-22T10:44:12Z</dcterms:created>
  <dcterms:modified xsi:type="dcterms:W3CDTF">2026-08-22T10:44:12Z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