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76cb23c08c938ae6d7f43479b09883e57e2abd"/>
    <w:p>
      <w:pPr>
        <w:pStyle w:val="Heading1"/>
      </w:pPr>
      <w:r>
        <w:t xml:space="preserve">Enterprise Banking Data Platform on Google Cloud Platform</w:t>
      </w:r>
    </w:p>
    <w:bookmarkStart w:id="20" w:name="X6b587b713990141dd5de3dda6d8b0a89c073a5a"/>
    <w:p>
      <w:pPr>
        <w:pStyle w:val="Heading2"/>
      </w:pPr>
      <w:r>
        <w:t xml:space="preserve">Complete HLD, LLD, Dataflow, BigQuery, Composer, Audit, Reconciliation, CI/CD and Operations Guide</w:t>
      </w:r>
    </w:p>
    <w:bookmarkEnd w:id="20"/>
    <w:bookmarkEnd w:id="21"/>
    <w:bookmarkStart w:id="25" w:name="executive-summary"/>
    <w:p>
      <w:pPr>
        <w:pStyle w:val="Heading1"/>
      </w:pPr>
      <w:r>
        <w:t xml:space="preserve">1. Executive Summary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Enterprise Banking Data Platform is designed to ingest, validate, transform, govern and analyze banking data from multiple source systems using Google Cloud Platform (GCP).</w:t>
      </w:r>
    </w:p>
    <w:p>
      <w:pPr>
        <w:pStyle w:val="BodyText"/>
      </w:pPr>
      <w:r>
        <w:t xml:space="preserve">The platform follows a Medallion Architecture (Bronze, Silver and Gold) pattern and provides a scalable, secure and auditable solution for enterprise reporting, analytics, compliance and regulatory requirements.</w: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1"/>
        </w:numPr>
      </w:pPr>
      <w:r>
        <w:t xml:space="preserve">Centralized Data Platform</w:t>
      </w:r>
    </w:p>
    <w:p>
      <w:pPr>
        <w:pStyle w:val="Compact"/>
        <w:numPr>
          <w:ilvl w:val="0"/>
          <w:numId w:val="1001"/>
        </w:numPr>
      </w:pPr>
      <w:r>
        <w:t xml:space="preserve">Regulatory Compliance</w:t>
      </w:r>
    </w:p>
    <w:p>
      <w:pPr>
        <w:pStyle w:val="Compact"/>
        <w:numPr>
          <w:ilvl w:val="0"/>
          <w:numId w:val="1001"/>
        </w:numPr>
      </w:pPr>
      <w:r>
        <w:t xml:space="preserve">Data Quality Management</w:t>
      </w:r>
    </w:p>
    <w:p>
      <w:pPr>
        <w:pStyle w:val="Compact"/>
        <w:numPr>
          <w:ilvl w:val="0"/>
          <w:numId w:val="1001"/>
        </w:numPr>
      </w:pPr>
      <w:r>
        <w:t xml:space="preserve">Data Lineage and Governance</w:t>
      </w:r>
    </w:p>
    <w:p>
      <w:pPr>
        <w:pStyle w:val="Compact"/>
        <w:numPr>
          <w:ilvl w:val="0"/>
          <w:numId w:val="1001"/>
        </w:numPr>
      </w:pPr>
      <w:r>
        <w:t xml:space="preserve">KPI Reporting</w:t>
      </w:r>
    </w:p>
    <w:p>
      <w:pPr>
        <w:pStyle w:val="Compact"/>
        <w:numPr>
          <w:ilvl w:val="0"/>
          <w:numId w:val="1001"/>
        </w:numPr>
      </w:pPr>
      <w:r>
        <w:t xml:space="preserve">Operational Analytics</w:t>
      </w:r>
    </w:p>
    <w:p>
      <w:pPr>
        <w:pStyle w:val="Compact"/>
        <w:numPr>
          <w:ilvl w:val="0"/>
          <w:numId w:val="1001"/>
        </w:numPr>
      </w:pPr>
      <w:r>
        <w:t xml:space="preserve">Near Real-Time Insights</w:t>
      </w:r>
    </w:p>
    <w:p>
      <w:pPr>
        <w:pStyle w:val="Compact"/>
        <w:numPr>
          <w:ilvl w:val="0"/>
          <w:numId w:val="1001"/>
        </w:numPr>
      </w:pPr>
      <w:r>
        <w:t xml:space="preserve">Enterprise Auditability</w:t>
      </w:r>
    </w:p>
    <w:bookmarkEnd w:id="23"/>
    <w:bookmarkStart w:id="24" w:name="key-stakeholders"/>
    <w:p>
      <w:pPr>
        <w:pStyle w:val="Heading2"/>
      </w:pPr>
      <w:r>
        <w:t xml:space="preserve">Key Stakeholders</w:t>
      </w:r>
    </w:p>
    <w:p>
      <w:pPr>
        <w:pStyle w:val="Compact"/>
        <w:numPr>
          <w:ilvl w:val="0"/>
          <w:numId w:val="1002"/>
        </w:numPr>
      </w:pPr>
      <w:r>
        <w:t xml:space="preserve">Business Users</w:t>
      </w:r>
    </w:p>
    <w:p>
      <w:pPr>
        <w:pStyle w:val="Compact"/>
        <w:numPr>
          <w:ilvl w:val="0"/>
          <w:numId w:val="1002"/>
        </w:numPr>
      </w:pPr>
      <w:r>
        <w:t xml:space="preserve">Risk Team</w:t>
      </w:r>
    </w:p>
    <w:p>
      <w:pPr>
        <w:pStyle w:val="Compact"/>
        <w:numPr>
          <w:ilvl w:val="0"/>
          <w:numId w:val="1002"/>
        </w:numPr>
      </w:pPr>
      <w:r>
        <w:t xml:space="preserve">Finance Team</w:t>
      </w:r>
    </w:p>
    <w:p>
      <w:pPr>
        <w:pStyle w:val="Compact"/>
        <w:numPr>
          <w:ilvl w:val="0"/>
          <w:numId w:val="1002"/>
        </w:numPr>
      </w:pPr>
      <w:r>
        <w:t xml:space="preserve">Operations Team</w:t>
      </w:r>
    </w:p>
    <w:p>
      <w:pPr>
        <w:pStyle w:val="Compact"/>
        <w:numPr>
          <w:ilvl w:val="0"/>
          <w:numId w:val="1002"/>
        </w:numPr>
      </w:pPr>
      <w:r>
        <w:t xml:space="preserve">Compliance Team</w:t>
      </w:r>
    </w:p>
    <w:p>
      <w:pPr>
        <w:pStyle w:val="Compact"/>
        <w:numPr>
          <w:ilvl w:val="0"/>
          <w:numId w:val="1002"/>
        </w:numPr>
      </w:pPr>
      <w:r>
        <w:t xml:space="preserve">Data Engineering Team</w:t>
      </w:r>
    </w:p>
    <w:p>
      <w:pPr>
        <w:pStyle w:val="Compact"/>
        <w:numPr>
          <w:ilvl w:val="0"/>
          <w:numId w:val="1002"/>
        </w:numPr>
      </w:pPr>
      <w:r>
        <w:t xml:space="preserve">Executive Leadership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business-domain-overview"/>
    <w:p>
      <w:pPr>
        <w:pStyle w:val="Heading1"/>
      </w:pPr>
      <w:r>
        <w:t xml:space="preserve">2. Business Domain Overview</w:t>
      </w:r>
    </w:p>
    <w:bookmarkStart w:id="31" w:name="banking-source-systems"/>
    <w:p>
      <w:pPr>
        <w:pStyle w:val="Heading2"/>
      </w:pPr>
      <w:r>
        <w:t xml:space="preserve">Banking Source Systems</w:t>
      </w:r>
    </w:p>
    <w:bookmarkStart w:id="26" w:name="customer-management-system"/>
    <w:p>
      <w:pPr>
        <w:pStyle w:val="Heading3"/>
      </w:pPr>
      <w:r>
        <w:t xml:space="preserve">Customer Management System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3"/>
        </w:numPr>
      </w:pPr>
      <w:r>
        <w:t xml:space="preserve">Customer Information</w:t>
      </w:r>
    </w:p>
    <w:p>
      <w:pPr>
        <w:pStyle w:val="Compact"/>
        <w:numPr>
          <w:ilvl w:val="0"/>
          <w:numId w:val="1003"/>
        </w:numPr>
      </w:pPr>
      <w:r>
        <w:t xml:space="preserve">KYC Information</w:t>
      </w:r>
    </w:p>
    <w:p>
      <w:pPr>
        <w:pStyle w:val="Compact"/>
        <w:numPr>
          <w:ilvl w:val="0"/>
          <w:numId w:val="1003"/>
        </w:numPr>
      </w:pPr>
      <w:r>
        <w:t xml:space="preserve">Contact Information</w:t>
      </w:r>
    </w:p>
    <w:bookmarkEnd w:id="26"/>
    <w:bookmarkStart w:id="27" w:name="core-banking-system"/>
    <w:p>
      <w:pPr>
        <w:pStyle w:val="Heading3"/>
      </w:pPr>
      <w:r>
        <w:t xml:space="preserve">Core Banking System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4"/>
        </w:numPr>
      </w:pPr>
      <w:r>
        <w:t xml:space="preserve">Accounts</w:t>
      </w:r>
    </w:p>
    <w:p>
      <w:pPr>
        <w:pStyle w:val="Compact"/>
        <w:numPr>
          <w:ilvl w:val="0"/>
          <w:numId w:val="1004"/>
        </w:numPr>
      </w:pPr>
      <w:r>
        <w:t xml:space="preserve">Balances</w:t>
      </w:r>
    </w:p>
    <w:p>
      <w:pPr>
        <w:pStyle w:val="Compact"/>
        <w:numPr>
          <w:ilvl w:val="0"/>
          <w:numId w:val="1004"/>
        </w:numPr>
      </w:pPr>
      <w:r>
        <w:t xml:space="preserve">Transactions</w:t>
      </w:r>
    </w:p>
    <w:bookmarkEnd w:id="27"/>
    <w:bookmarkStart w:id="28" w:name="card-management-system"/>
    <w:p>
      <w:pPr>
        <w:pStyle w:val="Heading3"/>
      </w:pPr>
      <w:r>
        <w:t xml:space="preserve">Card Management System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5"/>
        </w:numPr>
      </w:pPr>
      <w:r>
        <w:t xml:space="preserve">Credit Cards</w:t>
      </w:r>
    </w:p>
    <w:p>
      <w:pPr>
        <w:pStyle w:val="Compact"/>
        <w:numPr>
          <w:ilvl w:val="0"/>
          <w:numId w:val="1005"/>
        </w:numPr>
      </w:pPr>
      <w:r>
        <w:t xml:space="preserve">Debit Cards</w:t>
      </w:r>
    </w:p>
    <w:p>
      <w:pPr>
        <w:pStyle w:val="Compact"/>
        <w:numPr>
          <w:ilvl w:val="0"/>
          <w:numId w:val="1005"/>
        </w:numPr>
      </w:pPr>
      <w:r>
        <w:t xml:space="preserve">Card Transactions</w:t>
      </w:r>
    </w:p>
    <w:bookmarkEnd w:id="28"/>
    <w:bookmarkStart w:id="29" w:name="loan-management-system"/>
    <w:p>
      <w:pPr>
        <w:pStyle w:val="Heading3"/>
      </w:pPr>
      <w:r>
        <w:t xml:space="preserve">Loan Management System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6"/>
        </w:numPr>
      </w:pPr>
      <w:r>
        <w:t xml:space="preserve">Personal Loans</w:t>
      </w:r>
    </w:p>
    <w:p>
      <w:pPr>
        <w:pStyle w:val="Compact"/>
        <w:numPr>
          <w:ilvl w:val="0"/>
          <w:numId w:val="1006"/>
        </w:numPr>
      </w:pPr>
      <w:r>
        <w:t xml:space="preserve">Home Loans</w:t>
      </w:r>
    </w:p>
    <w:p>
      <w:pPr>
        <w:pStyle w:val="Compact"/>
        <w:numPr>
          <w:ilvl w:val="0"/>
          <w:numId w:val="1006"/>
        </w:numPr>
      </w:pPr>
      <w:r>
        <w:t xml:space="preserve">Vehicle Loans</w:t>
      </w:r>
    </w:p>
    <w:bookmarkEnd w:id="29"/>
    <w:bookmarkStart w:id="30" w:name="payment-gateway"/>
    <w:p>
      <w:pPr>
        <w:pStyle w:val="Heading3"/>
      </w:pPr>
      <w:r>
        <w:t xml:space="preserve">Payment Gateway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7"/>
        </w:numPr>
      </w:pPr>
      <w:r>
        <w:t xml:space="preserve">Online Payments</w:t>
      </w:r>
    </w:p>
    <w:p>
      <w:pPr>
        <w:pStyle w:val="Compact"/>
        <w:numPr>
          <w:ilvl w:val="0"/>
          <w:numId w:val="1007"/>
        </w:numPr>
      </w:pPr>
      <w:r>
        <w:t xml:space="preserve">UPI Transactions</w:t>
      </w:r>
    </w:p>
    <w:p>
      <w:pPr>
        <w:pStyle w:val="Compact"/>
        <w:numPr>
          <w:ilvl w:val="0"/>
          <w:numId w:val="1007"/>
        </w:numPr>
      </w:pPr>
      <w:r>
        <w:t xml:space="preserve">Wallet Transactions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solution-architecture"/>
    <w:p>
      <w:pPr>
        <w:pStyle w:val="Heading1"/>
      </w:pPr>
      <w:r>
        <w:t xml:space="preserve">3. Solution Architecture</w:t>
      </w:r>
    </w:p>
    <w:bookmarkStart w:id="33" w:name="end-to-end-flow"/>
    <w:p>
      <w:pPr>
        <w:pStyle w:val="Heading2"/>
      </w:pPr>
      <w:r>
        <w:t xml:space="preserve">End-to-End Flow</w:t>
      </w:r>
    </w:p>
    <w:p>
      <w:pPr>
        <w:pStyle w:val="FirstParagraph"/>
      </w:pPr>
      <w:r>
        <w:t xml:space="preserve">Source Systems</w:t>
      </w:r>
      <w:r>
        <w:t xml:space="preserve"> </w:t>
      </w:r>
      <w:r>
        <w:t xml:space="preserve">→ Cloud Storage Landing</w:t>
      </w:r>
      <w:r>
        <w:t xml:space="preserve"> </w:t>
      </w:r>
      <w:r>
        <w:t xml:space="preserve">→ Dataflow Flex Template</w:t>
      </w:r>
      <w:r>
        <w:t xml:space="preserve"> </w:t>
      </w:r>
      <w:r>
        <w:t xml:space="preserve">→ BigQuery Bronze</w:t>
      </w:r>
      <w:r>
        <w:t xml:space="preserve"> </w:t>
      </w:r>
      <w:r>
        <w:t xml:space="preserve">→ Stored Procedures</w:t>
      </w:r>
      <w:r>
        <w:t xml:space="preserve"> </w:t>
      </w:r>
      <w:r>
        <w:t xml:space="preserve">→ BigQuery Silver</w:t>
      </w:r>
      <w:r>
        <w:t xml:space="preserve"> </w:t>
      </w:r>
      <w:r>
        <w:t xml:space="preserve">→ Stored Procedures</w:t>
      </w:r>
      <w:r>
        <w:t xml:space="preserve"> </w:t>
      </w:r>
      <w:r>
        <w:t xml:space="preserve">→ BigQuery Gold</w:t>
      </w:r>
      <w:r>
        <w:t xml:space="preserve"> </w:t>
      </w:r>
      <w:r>
        <w:t xml:space="preserve">→ Looker / Tableau / Power BI</w:t>
      </w:r>
    </w:p>
    <w:bookmarkEnd w:id="33"/>
    <w:bookmarkStart w:id="38" w:name="architecture-components"/>
    <w:p>
      <w:pPr>
        <w:pStyle w:val="Heading2"/>
      </w:pPr>
      <w:r>
        <w:t xml:space="preserve">Architecture Components</w:t>
      </w:r>
    </w:p>
    <w:bookmarkStart w:id="34" w:name="ingestion-layer"/>
    <w:p>
      <w:pPr>
        <w:pStyle w:val="Heading3"/>
      </w:pPr>
      <w:r>
        <w:t xml:space="preserve">Ingestion Layer</w:t>
      </w:r>
    </w:p>
    <w:p>
      <w:pPr>
        <w:pStyle w:val="FirstParagraph"/>
      </w:pPr>
      <w:r>
        <w:t xml:space="preserve">Google Cloud Storage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Receive files</w:t>
      </w:r>
    </w:p>
    <w:p>
      <w:pPr>
        <w:pStyle w:val="Compact"/>
        <w:numPr>
          <w:ilvl w:val="0"/>
          <w:numId w:val="1008"/>
        </w:numPr>
      </w:pPr>
      <w:r>
        <w:t xml:space="preserve">Maintain raw data</w:t>
      </w:r>
    </w:p>
    <w:p>
      <w:pPr>
        <w:pStyle w:val="Compact"/>
        <w:numPr>
          <w:ilvl w:val="0"/>
          <w:numId w:val="1008"/>
        </w:numPr>
      </w:pPr>
      <w:r>
        <w:t xml:space="preserve">Source retention</w:t>
      </w:r>
    </w:p>
    <w:bookmarkEnd w:id="34"/>
    <w:bookmarkStart w:id="35" w:name="processing-layer"/>
    <w:p>
      <w:pPr>
        <w:pStyle w:val="Heading3"/>
      </w:pPr>
      <w:r>
        <w:t xml:space="preserve">Processing Layer</w:t>
      </w:r>
    </w:p>
    <w:p>
      <w:pPr>
        <w:pStyle w:val="FirstParagraph"/>
      </w:pPr>
      <w:r>
        <w:t xml:space="preserve">Google Cloud Dataflow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Parsing</w:t>
      </w:r>
    </w:p>
    <w:p>
      <w:pPr>
        <w:pStyle w:val="Compact"/>
        <w:numPr>
          <w:ilvl w:val="0"/>
          <w:numId w:val="1009"/>
        </w:numPr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Cleansing</w:t>
      </w:r>
    </w:p>
    <w:p>
      <w:pPr>
        <w:pStyle w:val="Compact"/>
        <w:numPr>
          <w:ilvl w:val="0"/>
          <w:numId w:val="1009"/>
        </w:numPr>
      </w:pPr>
      <w:r>
        <w:t xml:space="preserve">Error Handling</w:t>
      </w:r>
    </w:p>
    <w:bookmarkEnd w:id="35"/>
    <w:bookmarkStart w:id="36" w:name="storage-layer"/>
    <w:p>
      <w:pPr>
        <w:pStyle w:val="Heading3"/>
      </w:pPr>
      <w:r>
        <w:t xml:space="preserve">Storage Layer</w:t>
      </w:r>
    </w:p>
    <w:p>
      <w:pPr>
        <w:pStyle w:val="FirstParagraph"/>
      </w:pPr>
      <w:r>
        <w:t xml:space="preserve">BigQuery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Data Warehouse</w:t>
      </w:r>
    </w:p>
    <w:p>
      <w:pPr>
        <w:pStyle w:val="Compact"/>
        <w:numPr>
          <w:ilvl w:val="0"/>
          <w:numId w:val="1010"/>
        </w:numPr>
      </w:pPr>
      <w:r>
        <w:t xml:space="preserve">Analytics</w:t>
      </w:r>
    </w:p>
    <w:p>
      <w:pPr>
        <w:pStyle w:val="Compact"/>
        <w:numPr>
          <w:ilvl w:val="0"/>
          <w:numId w:val="1010"/>
        </w:numPr>
      </w:pPr>
      <w:r>
        <w:t xml:space="preserve">KPI Reporting</w:t>
      </w:r>
    </w:p>
    <w:bookmarkEnd w:id="36"/>
    <w:bookmarkStart w:id="37" w:name="orchestration-layer"/>
    <w:p>
      <w:pPr>
        <w:pStyle w:val="Heading3"/>
      </w:pPr>
      <w:r>
        <w:t xml:space="preserve">Orchestration Layer</w:t>
      </w:r>
    </w:p>
    <w:p>
      <w:pPr>
        <w:pStyle w:val="FirstParagraph"/>
      </w:pPr>
      <w:r>
        <w:t xml:space="preserve">Cloud Composer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Scheduling</w:t>
      </w:r>
    </w:p>
    <w:p>
      <w:pPr>
        <w:pStyle w:val="Compact"/>
        <w:numPr>
          <w:ilvl w:val="0"/>
          <w:numId w:val="1011"/>
        </w:numPr>
      </w:pPr>
      <w:r>
        <w:t xml:space="preserve">Dependency Management</w:t>
      </w:r>
    </w:p>
    <w:p>
      <w:pPr>
        <w:pStyle w:val="Compact"/>
        <w:numPr>
          <w:ilvl w:val="0"/>
          <w:numId w:val="1011"/>
        </w:numPr>
      </w:pPr>
      <w:r>
        <w:t xml:space="preserve">Workflow Automation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infrastructure-design"/>
    <w:p>
      <w:pPr>
        <w:pStyle w:val="Heading1"/>
      </w:pPr>
      <w:r>
        <w:t xml:space="preserve">4. Infrastructure Design</w:t>
      </w:r>
    </w:p>
    <w:bookmarkStart w:id="46" w:name="gcp-services"/>
    <w:p>
      <w:pPr>
        <w:pStyle w:val="Heading2"/>
      </w:pPr>
      <w:r>
        <w:t xml:space="preserve">GCP Services</w:t>
      </w:r>
    </w:p>
    <w:bookmarkStart w:id="40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12"/>
        </w:numPr>
      </w:pPr>
      <w:r>
        <w:t xml:space="preserve">Cloud Storage</w:t>
      </w:r>
    </w:p>
    <w:bookmarkEnd w:id="40"/>
    <w:bookmarkStart w:id="41" w:name="compute"/>
    <w:p>
      <w:pPr>
        <w:pStyle w:val="Heading3"/>
      </w:pPr>
      <w:r>
        <w:t xml:space="preserve">Compute</w:t>
      </w:r>
    </w:p>
    <w:p>
      <w:pPr>
        <w:pStyle w:val="Compact"/>
        <w:numPr>
          <w:ilvl w:val="0"/>
          <w:numId w:val="1013"/>
        </w:numPr>
      </w:pPr>
      <w:r>
        <w:t xml:space="preserve">Dataflow</w:t>
      </w:r>
    </w:p>
    <w:p>
      <w:pPr>
        <w:pStyle w:val="Compact"/>
        <w:numPr>
          <w:ilvl w:val="0"/>
          <w:numId w:val="1013"/>
        </w:numPr>
      </w:pPr>
      <w:r>
        <w:t xml:space="preserve">Cloud Composer</w:t>
      </w:r>
    </w:p>
    <w:bookmarkEnd w:id="41"/>
    <w:bookmarkStart w:id="42" w:name="analytics"/>
    <w:p>
      <w:pPr>
        <w:pStyle w:val="Heading3"/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BigQuery</w:t>
      </w:r>
    </w:p>
    <w:bookmarkEnd w:id="42"/>
    <w:bookmarkStart w:id="43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5"/>
        </w:numPr>
      </w:pPr>
      <w:r>
        <w:t xml:space="preserve">IAM</w:t>
      </w:r>
    </w:p>
    <w:p>
      <w:pPr>
        <w:pStyle w:val="Compact"/>
        <w:numPr>
          <w:ilvl w:val="0"/>
          <w:numId w:val="1015"/>
        </w:numPr>
      </w:pPr>
      <w:r>
        <w:t xml:space="preserve">Secret Manager</w:t>
      </w:r>
    </w:p>
    <w:bookmarkEnd w:id="43"/>
    <w:bookmarkStart w:id="44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16"/>
        </w:numPr>
      </w:pPr>
      <w:r>
        <w:t xml:space="preserve">Cloud Logging</w:t>
      </w:r>
    </w:p>
    <w:p>
      <w:pPr>
        <w:pStyle w:val="Compact"/>
        <w:numPr>
          <w:ilvl w:val="0"/>
          <w:numId w:val="1016"/>
        </w:numPr>
      </w:pPr>
      <w:r>
        <w:t xml:space="preserve">Cloud Monitoring</w:t>
      </w:r>
    </w:p>
    <w:bookmarkEnd w:id="44"/>
    <w:bookmarkStart w:id="45" w:name="devops"/>
    <w:p>
      <w:pPr>
        <w:pStyle w:val="Heading3"/>
      </w:pPr>
      <w:r>
        <w:t xml:space="preserve">DevOps</w:t>
      </w:r>
    </w:p>
    <w:p>
      <w:pPr>
        <w:pStyle w:val="Compact"/>
        <w:numPr>
          <w:ilvl w:val="0"/>
          <w:numId w:val="1017"/>
        </w:numPr>
      </w:pPr>
      <w:r>
        <w:t xml:space="preserve">Cloud Build</w:t>
      </w:r>
    </w:p>
    <w:p>
      <w:pPr>
        <w:pStyle w:val="Compact"/>
        <w:numPr>
          <w:ilvl w:val="0"/>
          <w:numId w:val="1017"/>
        </w:numPr>
      </w:pPr>
      <w:r>
        <w:t xml:space="preserve">Artifact Registry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gcp-environment-design"/>
    <w:p>
      <w:pPr>
        <w:pStyle w:val="Heading1"/>
      </w:pPr>
      <w:r>
        <w:t xml:space="preserve">5. GCP Environment Design</w:t>
      </w:r>
    </w:p>
    <w:bookmarkStart w:id="48" w:name="development-environment"/>
    <w:p>
      <w:pPr>
        <w:pStyle w:val="Heading2"/>
      </w:pPr>
      <w:r>
        <w:t xml:space="preserve">Development Environment</w:t>
      </w:r>
    </w:p>
    <w:p>
      <w:pPr>
        <w:pStyle w:val="FirstParagraph"/>
      </w:pPr>
      <w:r>
        <w:t xml:space="preserve">banking-dev</w:t>
      </w:r>
    </w:p>
    <w:bookmarkEnd w:id="48"/>
    <w:bookmarkStart w:id="49" w:name="qa-environment"/>
    <w:p>
      <w:pPr>
        <w:pStyle w:val="Heading2"/>
      </w:pPr>
      <w:r>
        <w:t xml:space="preserve">QA Environment</w:t>
      </w:r>
    </w:p>
    <w:p>
      <w:pPr>
        <w:pStyle w:val="FirstParagraph"/>
      </w:pPr>
      <w:r>
        <w:t xml:space="preserve">banking-qa</w:t>
      </w:r>
    </w:p>
    <w:bookmarkEnd w:id="49"/>
    <w:bookmarkStart w:id="50" w:name="production-environment"/>
    <w:p>
      <w:pPr>
        <w:pStyle w:val="Heading2"/>
      </w:pPr>
      <w:r>
        <w:t xml:space="preserve">Production Environment</w:t>
      </w:r>
    </w:p>
    <w:p>
      <w:pPr>
        <w:pStyle w:val="FirstParagraph"/>
      </w:pPr>
      <w:r>
        <w:t xml:space="preserve">banking-prod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loud-storage-design"/>
    <w:p>
      <w:pPr>
        <w:pStyle w:val="Heading1"/>
      </w:pPr>
      <w:r>
        <w:t xml:space="preserve">6. Cloud Storage Design</w:t>
      </w:r>
    </w:p>
    <w:bookmarkStart w:id="52" w:name="landing-bucket"/>
    <w:p>
      <w:pPr>
        <w:pStyle w:val="Heading2"/>
      </w:pPr>
      <w:r>
        <w:t xml:space="preserve">Landing Bucket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incoming source files.</w:t>
      </w:r>
    </w:p>
    <w:p>
      <w:pPr>
        <w:pStyle w:val="BodyText"/>
      </w:pPr>
      <w:r>
        <w:t xml:space="preserve">Folder Structure:</w:t>
      </w:r>
    </w:p>
    <w:p>
      <w:pPr>
        <w:pStyle w:val="BodyText"/>
      </w:pPr>
      <w:r>
        <w:t xml:space="preserve">landing/customer/yyyy/mm/dd/</w:t>
      </w:r>
      <w:r>
        <w:t xml:space="preserve"> </w:t>
      </w:r>
      <w:r>
        <w:t xml:space="preserve">landing/account/yyyy/mm/dd/</w:t>
      </w:r>
      <w:r>
        <w:t xml:space="preserve"> </w:t>
      </w:r>
      <w:r>
        <w:t xml:space="preserve">landing/card/yyyy/mm/dd/</w:t>
      </w:r>
      <w:r>
        <w:t xml:space="preserve"> </w:t>
      </w:r>
      <w:r>
        <w:t xml:space="preserve">landing/loan/yyyy/mm/dd/</w:t>
      </w:r>
      <w:r>
        <w:t xml:space="preserve"> </w:t>
      </w:r>
      <w:r>
        <w:t xml:space="preserve">landing/transaction/yyyy/mm/dd/</w:t>
      </w:r>
    </w:p>
    <w:bookmarkEnd w:id="52"/>
    <w:bookmarkStart w:id="53" w:name="archive-bucket"/>
    <w:p>
      <w:pPr>
        <w:pStyle w:val="Heading2"/>
      </w:pPr>
      <w:r>
        <w:t xml:space="preserve">Archive Bucket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Historical storage.</w:t>
      </w:r>
    </w:p>
    <w:bookmarkEnd w:id="53"/>
    <w:bookmarkStart w:id="54" w:name="rejected-bucket"/>
    <w:p>
      <w:pPr>
        <w:pStyle w:val="Heading2"/>
      </w:pPr>
      <w:r>
        <w:t xml:space="preserve">Rejected Bucket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Invalid records.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data-model-design"/>
    <w:p>
      <w:pPr>
        <w:pStyle w:val="Heading1"/>
      </w:pPr>
      <w:r>
        <w:t xml:space="preserve">7. Data Model Design</w:t>
      </w:r>
    </w:p>
    <w:bookmarkStart w:id="56" w:name="customer-entity"/>
    <w:p>
      <w:pPr>
        <w:pStyle w:val="Heading2"/>
      </w:pPr>
      <w:r>
        <w:t xml:space="preserve">Customer Entity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8"/>
        </w:numPr>
      </w:pPr>
      <w:r>
        <w:t xml:space="preserve">customer_id</w:t>
      </w:r>
    </w:p>
    <w:p>
      <w:pPr>
        <w:pStyle w:val="Compact"/>
        <w:numPr>
          <w:ilvl w:val="0"/>
          <w:numId w:val="1018"/>
        </w:numPr>
      </w:pPr>
      <w:r>
        <w:t xml:space="preserve">customer_name</w:t>
      </w:r>
    </w:p>
    <w:p>
      <w:pPr>
        <w:pStyle w:val="Compact"/>
        <w:numPr>
          <w:ilvl w:val="0"/>
          <w:numId w:val="1018"/>
        </w:numPr>
      </w:pPr>
      <w:r>
        <w:t xml:space="preserve">dob</w:t>
      </w:r>
    </w:p>
    <w:p>
      <w:pPr>
        <w:pStyle w:val="Compact"/>
        <w:numPr>
          <w:ilvl w:val="0"/>
          <w:numId w:val="1018"/>
        </w:numPr>
      </w:pPr>
      <w:r>
        <w:t xml:space="preserve">email</w:t>
      </w:r>
    </w:p>
    <w:p>
      <w:pPr>
        <w:pStyle w:val="Compact"/>
        <w:numPr>
          <w:ilvl w:val="0"/>
          <w:numId w:val="1018"/>
        </w:numPr>
      </w:pPr>
      <w:r>
        <w:t xml:space="preserve">phone</w:t>
      </w:r>
    </w:p>
    <w:p>
      <w:pPr>
        <w:pStyle w:val="Compact"/>
        <w:numPr>
          <w:ilvl w:val="0"/>
          <w:numId w:val="1018"/>
        </w:numPr>
      </w:pPr>
      <w:r>
        <w:t xml:space="preserve">address</w:t>
      </w:r>
    </w:p>
    <w:p>
      <w:pPr>
        <w:pStyle w:val="FirstParagraph"/>
      </w:pPr>
      <w:r>
        <w:t xml:space="preserve">Business Rules:</w:t>
      </w:r>
    </w:p>
    <w:p>
      <w:pPr>
        <w:pStyle w:val="Compact"/>
        <w:numPr>
          <w:ilvl w:val="0"/>
          <w:numId w:val="1019"/>
        </w:numPr>
      </w:pPr>
      <w:r>
        <w:t xml:space="preserve">Customer ID Mandatory</w:t>
      </w:r>
    </w:p>
    <w:p>
      <w:pPr>
        <w:pStyle w:val="Compact"/>
        <w:numPr>
          <w:ilvl w:val="0"/>
          <w:numId w:val="1019"/>
        </w:numPr>
      </w:pPr>
      <w:r>
        <w:t xml:space="preserve">Email Validation</w:t>
      </w:r>
    </w:p>
    <w:p>
      <w:pPr>
        <w:pStyle w:val="Compact"/>
        <w:numPr>
          <w:ilvl w:val="0"/>
          <w:numId w:val="1019"/>
        </w:numPr>
      </w:pPr>
      <w:r>
        <w:t xml:space="preserve">Phone Validation</w:t>
      </w:r>
    </w:p>
    <w:bookmarkEnd w:id="56"/>
    <w:bookmarkStart w:id="57" w:name="account-entity"/>
    <w:p>
      <w:pPr>
        <w:pStyle w:val="Heading2"/>
      </w:pPr>
      <w:r>
        <w:t xml:space="preserve">Account Entity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20"/>
        </w:numPr>
      </w:pPr>
      <w:r>
        <w:t xml:space="preserve">account_id</w:t>
      </w:r>
    </w:p>
    <w:p>
      <w:pPr>
        <w:pStyle w:val="Compact"/>
        <w:numPr>
          <w:ilvl w:val="0"/>
          <w:numId w:val="1020"/>
        </w:numPr>
      </w:pPr>
      <w:r>
        <w:t xml:space="preserve">customer_id</w:t>
      </w:r>
    </w:p>
    <w:p>
      <w:pPr>
        <w:pStyle w:val="Compact"/>
        <w:numPr>
          <w:ilvl w:val="0"/>
          <w:numId w:val="1020"/>
        </w:numPr>
      </w:pPr>
      <w:r>
        <w:t xml:space="preserve">account_type</w:t>
      </w:r>
    </w:p>
    <w:p>
      <w:pPr>
        <w:pStyle w:val="Compact"/>
        <w:numPr>
          <w:ilvl w:val="0"/>
          <w:numId w:val="1020"/>
        </w:numPr>
      </w:pPr>
      <w:r>
        <w:t xml:space="preserve">balance</w:t>
      </w:r>
    </w:p>
    <w:bookmarkEnd w:id="57"/>
    <w:bookmarkStart w:id="58" w:name="card-entity"/>
    <w:p>
      <w:pPr>
        <w:pStyle w:val="Heading2"/>
      </w:pPr>
      <w:r>
        <w:t xml:space="preserve">Card Entity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21"/>
        </w:numPr>
      </w:pPr>
      <w:r>
        <w:t xml:space="preserve">card_id</w:t>
      </w:r>
    </w:p>
    <w:p>
      <w:pPr>
        <w:pStyle w:val="Compact"/>
        <w:numPr>
          <w:ilvl w:val="0"/>
          <w:numId w:val="1021"/>
        </w:numPr>
      </w:pPr>
      <w:r>
        <w:t xml:space="preserve">customer_id</w:t>
      </w:r>
    </w:p>
    <w:p>
      <w:pPr>
        <w:pStyle w:val="Compact"/>
        <w:numPr>
          <w:ilvl w:val="0"/>
          <w:numId w:val="1021"/>
        </w:numPr>
      </w:pPr>
      <w:r>
        <w:t xml:space="preserve">card_type</w:t>
      </w:r>
    </w:p>
    <w:p>
      <w:pPr>
        <w:pStyle w:val="Compact"/>
        <w:numPr>
          <w:ilvl w:val="0"/>
          <w:numId w:val="1021"/>
        </w:numPr>
      </w:pPr>
      <w:r>
        <w:t xml:space="preserve">credit_limit</w:t>
      </w:r>
    </w:p>
    <w:bookmarkEnd w:id="58"/>
    <w:bookmarkStart w:id="59" w:name="loan-entity"/>
    <w:p>
      <w:pPr>
        <w:pStyle w:val="Heading2"/>
      </w:pPr>
      <w:r>
        <w:t xml:space="preserve">Loan Entity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22"/>
        </w:numPr>
      </w:pPr>
      <w:r>
        <w:t xml:space="preserve">loan_id</w:t>
      </w:r>
    </w:p>
    <w:p>
      <w:pPr>
        <w:pStyle w:val="Compact"/>
        <w:numPr>
          <w:ilvl w:val="0"/>
          <w:numId w:val="1022"/>
        </w:numPr>
      </w:pPr>
      <w:r>
        <w:t xml:space="preserve">customer_id</w:t>
      </w:r>
    </w:p>
    <w:p>
      <w:pPr>
        <w:pStyle w:val="Compact"/>
        <w:numPr>
          <w:ilvl w:val="0"/>
          <w:numId w:val="1022"/>
        </w:numPr>
      </w:pPr>
      <w:r>
        <w:t xml:space="preserve">loan_amount</w:t>
      </w:r>
    </w:p>
    <w:p>
      <w:pPr>
        <w:pStyle w:val="Compact"/>
        <w:numPr>
          <w:ilvl w:val="0"/>
          <w:numId w:val="1022"/>
        </w:numPr>
      </w:pPr>
      <w:r>
        <w:t xml:space="preserve">loan_status</w:t>
      </w:r>
    </w:p>
    <w:bookmarkEnd w:id="59"/>
    <w:bookmarkStart w:id="60" w:name="transaction-entity"/>
    <w:p>
      <w:pPr>
        <w:pStyle w:val="Heading2"/>
      </w:pPr>
      <w:r>
        <w:t xml:space="preserve">Transaction Entity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23"/>
        </w:numPr>
      </w:pPr>
      <w:r>
        <w:t xml:space="preserve">transaction_id</w:t>
      </w:r>
    </w:p>
    <w:p>
      <w:pPr>
        <w:pStyle w:val="Compact"/>
        <w:numPr>
          <w:ilvl w:val="0"/>
          <w:numId w:val="1023"/>
        </w:numPr>
      </w:pPr>
      <w:r>
        <w:t xml:space="preserve">account_id</w:t>
      </w:r>
    </w:p>
    <w:p>
      <w:pPr>
        <w:pStyle w:val="Compact"/>
        <w:numPr>
          <w:ilvl w:val="0"/>
          <w:numId w:val="1023"/>
        </w:numPr>
      </w:pPr>
      <w:r>
        <w:t xml:space="preserve">amount</w:t>
      </w:r>
    </w:p>
    <w:p>
      <w:pPr>
        <w:pStyle w:val="Compact"/>
        <w:numPr>
          <w:ilvl w:val="0"/>
          <w:numId w:val="1023"/>
        </w:numPr>
      </w:pPr>
      <w:r>
        <w:t xml:space="preserve">transaction_date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bronze-layer-design"/>
    <w:p>
      <w:pPr>
        <w:pStyle w:val="Heading1"/>
      </w:pPr>
      <w:r>
        <w:t xml:space="preserve">8. Bronze Layer Design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Raw validated records.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24"/>
        </w:numPr>
      </w:pPr>
      <w:r>
        <w:t xml:space="preserve">Schema Validation</w:t>
      </w:r>
    </w:p>
    <w:p>
      <w:pPr>
        <w:pStyle w:val="Compact"/>
        <w:numPr>
          <w:ilvl w:val="0"/>
          <w:numId w:val="1024"/>
        </w:numPr>
      </w:pPr>
      <w:r>
        <w:t xml:space="preserve">Type Validation</w:t>
      </w:r>
    </w:p>
    <w:p>
      <w:pPr>
        <w:pStyle w:val="Compact"/>
        <w:numPr>
          <w:ilvl w:val="0"/>
          <w:numId w:val="1024"/>
        </w:numPr>
      </w:pPr>
      <w:r>
        <w:t xml:space="preserve">Mandatory Validation</w:t>
      </w:r>
    </w:p>
    <w:p>
      <w:pPr>
        <w:pStyle w:val="Compact"/>
        <w:numPr>
          <w:ilvl w:val="0"/>
          <w:numId w:val="1024"/>
        </w:numPr>
      </w:pPr>
      <w:r>
        <w:t xml:space="preserve">Duplicate Detection</w:t>
      </w:r>
    </w:p>
    <w:p>
      <w:pPr>
        <w:pStyle w:val="FirstParagraph"/>
      </w:pPr>
      <w:r>
        <w:t xml:space="preserve">Metadata Columns:</w:t>
      </w:r>
    </w:p>
    <w:p>
      <w:pPr>
        <w:pStyle w:val="Compact"/>
        <w:numPr>
          <w:ilvl w:val="0"/>
          <w:numId w:val="1025"/>
        </w:numPr>
      </w:pPr>
      <w:r>
        <w:t xml:space="preserve">batch_id</w:t>
      </w:r>
    </w:p>
    <w:p>
      <w:pPr>
        <w:pStyle w:val="Compact"/>
        <w:numPr>
          <w:ilvl w:val="0"/>
          <w:numId w:val="1025"/>
        </w:numPr>
      </w:pPr>
      <w:r>
        <w:t xml:space="preserve">source_system</w:t>
      </w:r>
    </w:p>
    <w:p>
      <w:pPr>
        <w:pStyle w:val="Compact"/>
        <w:numPr>
          <w:ilvl w:val="0"/>
          <w:numId w:val="1025"/>
        </w:numPr>
      </w:pPr>
      <w:r>
        <w:t xml:space="preserve">ingestion_timestamp</w:t>
      </w:r>
    </w:p>
    <w:p>
      <w:pPr>
        <w:pStyle w:val="Compact"/>
        <w:numPr>
          <w:ilvl w:val="0"/>
          <w:numId w:val="1025"/>
        </w:numPr>
      </w:pPr>
      <w:r>
        <w:t xml:space="preserve">load_date</w:t>
      </w:r>
    </w:p>
    <w:p>
      <w:r>
        <w:pict>
          <v:rect style="width:0;height:1.5pt" o:hralign="center" o:hrstd="t" o:hr="t"/>
        </w:pict>
      </w:r>
    </w:p>
    <w:bookmarkEnd w:id="62"/>
    <w:bookmarkStart w:id="63" w:name="silver-layer-design"/>
    <w:p>
      <w:pPr>
        <w:pStyle w:val="Heading1"/>
      </w:pPr>
      <w:r>
        <w:t xml:space="preserve">9. Silver Layer Design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Business Cleansed Data</w:t>
      </w:r>
    </w:p>
    <w:p>
      <w:pPr>
        <w:pStyle w:val="BodyText"/>
      </w:pPr>
      <w:r>
        <w:t xml:space="preserve">Transformations:</w:t>
      </w:r>
    </w:p>
    <w:p>
      <w:pPr>
        <w:pStyle w:val="Compact"/>
        <w:numPr>
          <w:ilvl w:val="0"/>
          <w:numId w:val="1026"/>
        </w:numPr>
      </w:pPr>
      <w:r>
        <w:t xml:space="preserve">Standardization</w:t>
      </w:r>
    </w:p>
    <w:p>
      <w:pPr>
        <w:pStyle w:val="Compact"/>
        <w:numPr>
          <w:ilvl w:val="0"/>
          <w:numId w:val="1026"/>
        </w:numPr>
      </w:pPr>
      <w:r>
        <w:t xml:space="preserve">Null Handling</w:t>
      </w:r>
    </w:p>
    <w:p>
      <w:pPr>
        <w:pStyle w:val="Compact"/>
        <w:numPr>
          <w:ilvl w:val="0"/>
          <w:numId w:val="1026"/>
        </w:numPr>
      </w:pPr>
      <w:r>
        <w:t xml:space="preserve">Deduplication</w:t>
      </w:r>
    </w:p>
    <w:p>
      <w:pPr>
        <w:pStyle w:val="Compact"/>
        <w:numPr>
          <w:ilvl w:val="0"/>
          <w:numId w:val="1026"/>
        </w:numPr>
      </w:pPr>
      <w:r>
        <w:t xml:space="preserve">Business Rule Validation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Customer Name Uppercase</w:t>
      </w:r>
    </w:p>
    <w:p>
      <w:pPr>
        <w:pStyle w:val="BodyText"/>
      </w:pPr>
      <w:r>
        <w:t xml:space="preserve">Phone Formatting</w:t>
      </w:r>
    </w:p>
    <w:p>
      <w:pPr>
        <w:pStyle w:val="BodyText"/>
      </w:pPr>
      <w:r>
        <w:t xml:space="preserve">Date Standardization</w:t>
      </w:r>
    </w:p>
    <w:p>
      <w:r>
        <w:pict>
          <v:rect style="width:0;height:1.5pt" o:hralign="center" o:hrstd="t" o:hr="t"/>
        </w:pict>
      </w:r>
    </w:p>
    <w:bookmarkEnd w:id="63"/>
    <w:bookmarkStart w:id="64" w:name="gold-layer-design"/>
    <w:p>
      <w:pPr>
        <w:pStyle w:val="Heading1"/>
      </w:pPr>
      <w:r>
        <w:t xml:space="preserve">10. Gold Layer Design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Business KPIs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Customer Summary</w:t>
      </w:r>
    </w:p>
    <w:p>
      <w:pPr>
        <w:pStyle w:val="BodyText"/>
      </w:pPr>
      <w:r>
        <w:t xml:space="preserve">Account Summary</w:t>
      </w:r>
    </w:p>
    <w:p>
      <w:pPr>
        <w:pStyle w:val="BodyText"/>
      </w:pPr>
      <w:r>
        <w:t xml:space="preserve">Loan Portfolio</w:t>
      </w:r>
    </w:p>
    <w:p>
      <w:pPr>
        <w:pStyle w:val="BodyText"/>
      </w:pPr>
      <w:r>
        <w:t xml:space="preserve">Card Utilization</w:t>
      </w:r>
    </w:p>
    <w:p>
      <w:pPr>
        <w:pStyle w:val="BodyText"/>
      </w:pPr>
      <w:r>
        <w:t xml:space="preserve">Daily Transaction Metrics</w:t>
      </w:r>
    </w:p>
    <w:p>
      <w:r>
        <w:pict>
          <v:rect style="width:0;height:1.5pt" o:hralign="center" o:hrstd="t" o:hr="t"/>
        </w:pict>
      </w:r>
    </w:p>
    <w:bookmarkEnd w:id="64"/>
    <w:bookmarkStart w:id="67" w:name="dataflow-design"/>
    <w:p>
      <w:pPr>
        <w:pStyle w:val="Heading1"/>
      </w:pPr>
      <w:r>
        <w:t xml:space="preserve">11. Dataflow Design</w:t>
      </w:r>
    </w:p>
    <w:bookmarkStart w:id="65" w:name="pipeline-architecture"/>
    <w:p>
      <w:pPr>
        <w:pStyle w:val="Heading2"/>
      </w:pPr>
      <w:r>
        <w:t xml:space="preserve">Pipeline Architecture</w:t>
      </w:r>
    </w:p>
    <w:p>
      <w:pPr>
        <w:pStyle w:val="FirstParagraph"/>
      </w:pPr>
      <w:r>
        <w:t xml:space="preserve">Read File</w:t>
      </w:r>
      <w:r>
        <w:t xml:space="preserve"> </w:t>
      </w:r>
      <w:r>
        <w:t xml:space="preserve">→ Parse</w:t>
      </w:r>
      <w:r>
        <w:t xml:space="preserve"> </w:t>
      </w:r>
      <w:r>
        <w:t xml:space="preserve">→ Validate</w:t>
      </w:r>
      <w:r>
        <w:t xml:space="preserve"> </w:t>
      </w:r>
      <w:r>
        <w:t xml:space="preserve">→ Enrich</w:t>
      </w:r>
      <w:r>
        <w:t xml:space="preserve"> </w:t>
      </w:r>
      <w:r>
        <w:t xml:space="preserve">→ Audit</w:t>
      </w:r>
      <w:r>
        <w:t xml:space="preserve"> </w:t>
      </w:r>
      <w:r>
        <w:t xml:space="preserve">→ Write Bronze</w:t>
      </w:r>
    </w:p>
    <w:bookmarkEnd w:id="65"/>
    <w:bookmarkStart w:id="66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PipelineOptions</w:t>
      </w:r>
    </w:p>
    <w:p>
      <w:pPr>
        <w:pStyle w:val="BodyText"/>
      </w:pPr>
      <w:r>
        <w:t xml:space="preserve">Parsers</w:t>
      </w:r>
    </w:p>
    <w:p>
      <w:pPr>
        <w:pStyle w:val="BodyText"/>
      </w:pPr>
      <w:r>
        <w:t xml:space="preserve">Validators</w:t>
      </w:r>
    </w:p>
    <w:p>
      <w:pPr>
        <w:pStyle w:val="BodyText"/>
      </w:pPr>
      <w:r>
        <w:t xml:space="preserve">Transformations</w:t>
      </w:r>
    </w:p>
    <w:p>
      <w:pPr>
        <w:pStyle w:val="BodyText"/>
      </w:pPr>
      <w:r>
        <w:t xml:space="preserve">BigQuery Writers</w:t>
      </w:r>
    </w:p>
    <w:p>
      <w:pPr>
        <w:pStyle w:val="BodyText"/>
      </w:pPr>
      <w:r>
        <w:t xml:space="preserve">Error Handlers</w:t>
      </w:r>
    </w:p>
    <w:p>
      <w:pPr>
        <w:pStyle w:val="BodyText"/>
      </w:pPr>
      <w:r>
        <w:t xml:space="preserve">Dead Letter Queue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ataflow-code-walkthrough"/>
    <w:p>
      <w:pPr>
        <w:pStyle w:val="Heading1"/>
      </w:pPr>
      <w:r>
        <w:t xml:space="preserve">12. Dataflow Code Walkthrough</w:t>
      </w:r>
    </w:p>
    <w:p>
      <w:pPr>
        <w:pStyle w:val="FirstParagraph"/>
      </w:pPr>
      <w:r>
        <w:t xml:space="preserve">main.py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27"/>
        </w:numPr>
      </w:pPr>
      <w:r>
        <w:t xml:space="preserve">Initialize Pipeline</w:t>
      </w:r>
    </w:p>
    <w:p>
      <w:pPr>
        <w:pStyle w:val="Compact"/>
        <w:numPr>
          <w:ilvl w:val="0"/>
          <w:numId w:val="1027"/>
        </w:numPr>
      </w:pPr>
      <w:r>
        <w:t xml:space="preserve">Read Input</w:t>
      </w:r>
    </w:p>
    <w:p>
      <w:pPr>
        <w:pStyle w:val="Compact"/>
        <w:numPr>
          <w:ilvl w:val="0"/>
          <w:numId w:val="1027"/>
        </w:numPr>
      </w:pPr>
      <w:r>
        <w:t xml:space="preserve">Apply Transformations</w:t>
      </w:r>
    </w:p>
    <w:p>
      <w:pPr>
        <w:pStyle w:val="Compact"/>
        <w:numPr>
          <w:ilvl w:val="0"/>
          <w:numId w:val="1027"/>
        </w:numPr>
      </w:pPr>
      <w:r>
        <w:t xml:space="preserve">Write Output</w:t>
      </w:r>
    </w:p>
    <w:p>
      <w:pPr>
        <w:pStyle w:val="FirstParagraph"/>
      </w:pPr>
      <w:r>
        <w:t xml:space="preserve">Parser Layer</w:t>
      </w:r>
    </w:p>
    <w:p>
      <w:pPr>
        <w:pStyle w:val="BodyText"/>
      </w:pPr>
      <w:r>
        <w:t xml:space="preserve">Customer Parser</w:t>
      </w:r>
    </w:p>
    <w:p>
      <w:pPr>
        <w:pStyle w:val="BodyText"/>
      </w:pPr>
      <w:r>
        <w:t xml:space="preserve">Account Parser</w:t>
      </w:r>
    </w:p>
    <w:p>
      <w:pPr>
        <w:pStyle w:val="BodyText"/>
      </w:pPr>
      <w:r>
        <w:t xml:space="preserve">Card Parser</w:t>
      </w:r>
    </w:p>
    <w:p>
      <w:pPr>
        <w:pStyle w:val="BodyText"/>
      </w:pPr>
      <w:r>
        <w:t xml:space="preserve">Loan Parser</w:t>
      </w:r>
    </w:p>
    <w:p>
      <w:pPr>
        <w:pStyle w:val="BodyText"/>
      </w:pPr>
      <w:r>
        <w:t xml:space="preserve">Transaction Parser</w:t>
      </w:r>
    </w:p>
    <w:p>
      <w:pPr>
        <w:pStyle w:val="BodyText"/>
      </w:pPr>
      <w:r>
        <w:t xml:space="preserve">Validation Layer</w:t>
      </w:r>
    </w:p>
    <w:p>
      <w:pPr>
        <w:pStyle w:val="BodyText"/>
      </w:pPr>
      <w:r>
        <w:t xml:space="preserve">Mandatory Validation</w:t>
      </w:r>
    </w:p>
    <w:p>
      <w:pPr>
        <w:pStyle w:val="BodyText"/>
      </w:pPr>
      <w:r>
        <w:t xml:space="preserve">Regex Validation</w:t>
      </w:r>
    </w:p>
    <w:p>
      <w:pPr>
        <w:pStyle w:val="BodyText"/>
      </w:pPr>
      <w:r>
        <w:t xml:space="preserve">Business Validation</w:t>
      </w:r>
    </w:p>
    <w:p>
      <w:pPr>
        <w:pStyle w:val="BodyText"/>
      </w:pPr>
      <w:r>
        <w:t xml:space="preserve">Schema Validation</w:t>
      </w:r>
    </w:p>
    <w:p>
      <w:r>
        <w:pict>
          <v:rect style="width:0;height:1.5pt" o:hralign="center" o:hrstd="t" o:hr="t"/>
        </w:pict>
      </w:r>
    </w:p>
    <w:bookmarkEnd w:id="68"/>
    <w:bookmarkStart w:id="69" w:name="bigquery-design"/>
    <w:p>
      <w:pPr>
        <w:pStyle w:val="Heading1"/>
      </w:pPr>
      <w:r>
        <w:t xml:space="preserve">13. BigQuery Design</w:t>
      </w:r>
    </w:p>
    <w:p>
      <w:pPr>
        <w:pStyle w:val="FirstParagraph"/>
      </w:pPr>
      <w:r>
        <w:t xml:space="preserve">Datasets:</w:t>
      </w:r>
    </w:p>
    <w:p>
      <w:pPr>
        <w:pStyle w:val="BodyText"/>
      </w:pPr>
      <w:r>
        <w:t xml:space="preserve">banking_bronze</w:t>
      </w:r>
    </w:p>
    <w:p>
      <w:pPr>
        <w:pStyle w:val="BodyText"/>
      </w:pPr>
      <w:r>
        <w:t xml:space="preserve">banking_silver</w:t>
      </w:r>
    </w:p>
    <w:p>
      <w:pPr>
        <w:pStyle w:val="BodyText"/>
      </w:pPr>
      <w:r>
        <w:t xml:space="preserve">banking_gold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reconciliation</w:t>
      </w:r>
    </w:p>
    <w:p>
      <w:pPr>
        <w:pStyle w:val="BodyText"/>
      </w:pPr>
      <w:r>
        <w:t xml:space="preserve">Partition Strategy</w:t>
      </w:r>
    </w:p>
    <w:p>
      <w:pPr>
        <w:pStyle w:val="BodyText"/>
      </w:pPr>
      <w:r>
        <w:t xml:space="preserve">Partition By:</w:t>
      </w:r>
    </w:p>
    <w:p>
      <w:pPr>
        <w:pStyle w:val="BodyText"/>
      </w:pPr>
      <w:r>
        <w:t xml:space="preserve">ingestion_date</w:t>
      </w:r>
    </w:p>
    <w:p>
      <w:pPr>
        <w:pStyle w:val="BodyText"/>
      </w:pPr>
      <w:r>
        <w:t xml:space="preserve">Cluster By:</w:t>
      </w:r>
    </w:p>
    <w:p>
      <w:pPr>
        <w:pStyle w:val="BodyText"/>
      </w:pPr>
      <w:r>
        <w:t xml:space="preserve">customer_id</w:t>
      </w:r>
    </w:p>
    <w:p>
      <w:pPr>
        <w:pStyle w:val="BodyText"/>
      </w:pPr>
      <w:r>
        <w:t xml:space="preserve">account_id</w:t>
      </w:r>
    </w:p>
    <w:p>
      <w:pPr>
        <w:pStyle w:val="BodyText"/>
      </w:pPr>
      <w:r>
        <w:t xml:space="preserve">batch_id</w:t>
      </w:r>
    </w:p>
    <w:p>
      <w:r>
        <w:pict>
          <v:rect style="width:0;height:1.5pt" o:hralign="center" o:hrstd="t" o:hr="t"/>
        </w:pict>
      </w:r>
    </w:p>
    <w:bookmarkEnd w:id="69"/>
    <w:bookmarkStart w:id="70" w:name="complete-sql-ddl"/>
    <w:p>
      <w:pPr>
        <w:pStyle w:val="Heading1"/>
      </w:pPr>
      <w:r>
        <w:t xml:space="preserve">14. Complete SQL DDL</w:t>
      </w:r>
    </w:p>
    <w:p>
      <w:pPr>
        <w:pStyle w:val="FirstParagraph"/>
      </w:pPr>
      <w:r>
        <w:t xml:space="preserve">Customer Bronze Table</w:t>
      </w:r>
    </w:p>
    <w:p>
      <w:pPr>
        <w:pStyle w:val="BodyText"/>
      </w:pPr>
      <w:r>
        <w:t xml:space="preserve">Account Bronze Table</w:t>
      </w:r>
    </w:p>
    <w:p>
      <w:pPr>
        <w:pStyle w:val="BodyText"/>
      </w:pPr>
      <w:r>
        <w:t xml:space="preserve">Card Bronze Table</w:t>
      </w:r>
    </w:p>
    <w:p>
      <w:pPr>
        <w:pStyle w:val="BodyText"/>
      </w:pPr>
      <w:r>
        <w:t xml:space="preserve">Loan Bronze Table</w:t>
      </w:r>
    </w:p>
    <w:p>
      <w:pPr>
        <w:pStyle w:val="BodyText"/>
      </w:pPr>
      <w:r>
        <w:t xml:space="preserve">Transaction Bronze Table</w:t>
      </w:r>
    </w:p>
    <w:p>
      <w:pPr>
        <w:pStyle w:val="BodyText"/>
      </w:pPr>
      <w:r>
        <w:t xml:space="preserve">Customer Silver Table</w:t>
      </w:r>
    </w:p>
    <w:p>
      <w:pPr>
        <w:pStyle w:val="BodyText"/>
      </w:pPr>
      <w:r>
        <w:t xml:space="preserve">Account Silver Table</w:t>
      </w:r>
    </w:p>
    <w:p>
      <w:pPr>
        <w:pStyle w:val="BodyText"/>
      </w:pPr>
      <w:r>
        <w:t xml:space="preserve">Card Silver Table</w:t>
      </w:r>
    </w:p>
    <w:p>
      <w:pPr>
        <w:pStyle w:val="BodyText"/>
      </w:pPr>
      <w:r>
        <w:t xml:space="preserve">Loan Silver Table</w:t>
      </w:r>
    </w:p>
    <w:p>
      <w:pPr>
        <w:pStyle w:val="BodyText"/>
      </w:pPr>
      <w:r>
        <w:t xml:space="preserve">Transaction Silver Table</w:t>
      </w:r>
    </w:p>
    <w:p>
      <w:pPr>
        <w:pStyle w:val="BodyText"/>
      </w:pPr>
      <w:r>
        <w:t xml:space="preserve">Customer KPI Gold Table</w:t>
      </w:r>
    </w:p>
    <w:p>
      <w:pPr>
        <w:pStyle w:val="BodyText"/>
      </w:pPr>
      <w:r>
        <w:t xml:space="preserve">Transaction KPI Gold Table</w:t>
      </w:r>
    </w:p>
    <w:p>
      <w:pPr>
        <w:pStyle w:val="BodyText"/>
      </w:pPr>
      <w:r>
        <w:t xml:space="preserve">Loan KPI Gold Table</w:t>
      </w:r>
    </w:p>
    <w:p>
      <w:pPr>
        <w:pStyle w:val="BodyText"/>
      </w:pPr>
      <w:r>
        <w:t xml:space="preserve">Card KPI Gold Table</w:t>
      </w:r>
    </w:p>
    <w:p>
      <w:r>
        <w:pict>
          <v:rect style="width:0;height:1.5pt" o:hralign="center" o:hrstd="t" o:hr="t"/>
        </w:pict>
      </w:r>
    </w:p>
    <w:bookmarkEnd w:id="70"/>
    <w:bookmarkStart w:id="71" w:name="audit-framework"/>
    <w:p>
      <w:pPr>
        <w:pStyle w:val="Heading1"/>
      </w:pPr>
      <w:r>
        <w:t xml:space="preserve">15. Audit Framework</w:t>
      </w:r>
    </w:p>
    <w:p>
      <w:pPr>
        <w:pStyle w:val="FirstParagraph"/>
      </w:pPr>
      <w:r>
        <w:t xml:space="preserve">Audit Tables</w:t>
      </w:r>
    </w:p>
    <w:p>
      <w:pPr>
        <w:pStyle w:val="BodyText"/>
      </w:pPr>
      <w:r>
        <w:t xml:space="preserve">job_audit</w:t>
      </w:r>
    </w:p>
    <w:p>
      <w:pPr>
        <w:pStyle w:val="BodyText"/>
      </w:pPr>
      <w:r>
        <w:t xml:space="preserve">job_audit_details</w:t>
      </w:r>
    </w:p>
    <w:p>
      <w:pPr>
        <w:pStyle w:val="BodyText"/>
      </w:pPr>
      <w:r>
        <w:t xml:space="preserve">Audit Procedures</w:t>
      </w:r>
    </w:p>
    <w:p>
      <w:pPr>
        <w:pStyle w:val="BodyText"/>
      </w:pPr>
      <w:r>
        <w:t xml:space="preserve">sp_audit_start</w:t>
      </w:r>
    </w:p>
    <w:p>
      <w:pPr>
        <w:pStyle w:val="BodyText"/>
      </w:pPr>
      <w:r>
        <w:t xml:space="preserve">sp_audit_update</w:t>
      </w:r>
    </w:p>
    <w:p>
      <w:pPr>
        <w:pStyle w:val="BodyText"/>
      </w:pPr>
      <w:r>
        <w:t xml:space="preserve">sp_audit_end</w:t>
      </w:r>
    </w:p>
    <w:p>
      <w:pPr>
        <w:pStyle w:val="BodyText"/>
      </w:pPr>
      <w:r>
        <w:t xml:space="preserve">Captured Metrics</w:t>
      </w:r>
    </w:p>
    <w:p>
      <w:pPr>
        <w:pStyle w:val="BodyText"/>
      </w:pPr>
      <w:r>
        <w:t xml:space="preserve">Start Time</w:t>
      </w:r>
    </w:p>
    <w:p>
      <w:pPr>
        <w:pStyle w:val="BodyText"/>
      </w:pPr>
      <w:r>
        <w:t xml:space="preserve">End Time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Record Count</w:t>
      </w:r>
    </w:p>
    <w:p>
      <w:pPr>
        <w:pStyle w:val="BodyText"/>
      </w:pPr>
      <w:r>
        <w:t xml:space="preserve">Error Count</w:t>
      </w:r>
    </w:p>
    <w:p>
      <w:pPr>
        <w:pStyle w:val="BodyText"/>
      </w:pPr>
      <w:r>
        <w:t xml:space="preserve">Execution Time</w:t>
      </w:r>
    </w:p>
    <w:p>
      <w:r>
        <w:pict>
          <v:rect style="width:0;height:1.5pt" o:hralign="center" o:hrstd="t" o:hr="t"/>
        </w:pict>
      </w:r>
    </w:p>
    <w:bookmarkEnd w:id="71"/>
    <w:bookmarkStart w:id="72" w:name="reconciliation-framework"/>
    <w:p>
      <w:pPr>
        <w:pStyle w:val="Heading1"/>
      </w:pPr>
      <w:r>
        <w:t xml:space="preserve">16. Reconciliation Framework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Source vs Target Validation</w:t>
      </w:r>
    </w:p>
    <w:p>
      <w:pPr>
        <w:pStyle w:val="BodyText"/>
      </w:pPr>
      <w:r>
        <w:t xml:space="preserve">Validation Types:</w:t>
      </w:r>
    </w:p>
    <w:p>
      <w:pPr>
        <w:pStyle w:val="BodyText"/>
      </w:pPr>
      <w:r>
        <w:t xml:space="preserve">File Count</w:t>
      </w:r>
    </w:p>
    <w:p>
      <w:pPr>
        <w:pStyle w:val="BodyText"/>
      </w:pPr>
      <w:r>
        <w:t xml:space="preserve">Record Count</w:t>
      </w:r>
    </w:p>
    <w:p>
      <w:pPr>
        <w:pStyle w:val="BodyText"/>
      </w:pPr>
      <w:r>
        <w:t xml:space="preserve">Control Totals</w:t>
      </w:r>
    </w:p>
    <w:p>
      <w:pPr>
        <w:pStyle w:val="BodyText"/>
      </w:pPr>
      <w:r>
        <w:t xml:space="preserve">Batch Validation</w:t>
      </w:r>
    </w:p>
    <w:p>
      <w:pPr>
        <w:pStyle w:val="BodyText"/>
      </w:pPr>
      <w:r>
        <w:t xml:space="preserve">Reconciliation Status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WARNING</w:t>
      </w:r>
    </w:p>
    <w:p>
      <w:r>
        <w:pict>
          <v:rect style="width:0;height:1.5pt" o:hralign="center" o:hrstd="t" o:hr="t"/>
        </w:pict>
      </w:r>
    </w:p>
    <w:bookmarkEnd w:id="72"/>
    <w:bookmarkStart w:id="73" w:name="cloud-composer-design"/>
    <w:p>
      <w:pPr>
        <w:pStyle w:val="Heading1"/>
      </w:pPr>
      <w:r>
        <w:t xml:space="preserve">17. Cloud Composer Design</w:t>
      </w:r>
    </w:p>
    <w:p>
      <w:pPr>
        <w:pStyle w:val="FirstParagraph"/>
      </w:pPr>
      <w:r>
        <w:t xml:space="preserve">DAG Flow</w:t>
      </w:r>
    </w:p>
    <w:p>
      <w:pPr>
        <w:pStyle w:val="BodyText"/>
      </w:pPr>
      <w:r>
        <w:t xml:space="preserve">Generate Batch ID</w:t>
      </w:r>
    </w:p>
    <w:p>
      <w:pPr>
        <w:pStyle w:val="BodyText"/>
      </w:pPr>
      <w:r>
        <w:t xml:space="preserve">Audit Start</w:t>
      </w:r>
    </w:p>
    <w:p>
      <w:pPr>
        <w:pStyle w:val="BodyText"/>
      </w:pPr>
      <w:r>
        <w:t xml:space="preserve">Dataflow Execution</w:t>
      </w:r>
    </w:p>
    <w:p>
      <w:pPr>
        <w:pStyle w:val="BodyText"/>
      </w:pPr>
      <w:r>
        <w:t xml:space="preserve">Bronze Validation</w:t>
      </w:r>
    </w:p>
    <w:p>
      <w:pPr>
        <w:pStyle w:val="BodyText"/>
      </w:pPr>
      <w:r>
        <w:t xml:space="preserve">Silver Procedure</w:t>
      </w:r>
    </w:p>
    <w:p>
      <w:pPr>
        <w:pStyle w:val="BodyText"/>
      </w:pPr>
      <w:r>
        <w:t xml:space="preserve">Gold Procedure</w:t>
      </w:r>
    </w:p>
    <w:p>
      <w:pPr>
        <w:pStyle w:val="BodyText"/>
      </w:pPr>
      <w:r>
        <w:t xml:space="preserve">Reconciliation</w:t>
      </w:r>
    </w:p>
    <w:p>
      <w:pPr>
        <w:pStyle w:val="BodyText"/>
      </w:pPr>
      <w:r>
        <w:t xml:space="preserve">Audit End</w:t>
      </w:r>
    </w:p>
    <w:p>
      <w:pPr>
        <w:pStyle w:val="BodyText"/>
      </w:pPr>
      <w:r>
        <w:t xml:space="preserve">Notification</w:t>
      </w:r>
    </w:p>
    <w:p>
      <w:r>
        <w:pict>
          <v:rect style="width:0;height:1.5pt" o:hralign="center" o:hrstd="t" o:hr="t"/>
        </w:pict>
      </w:r>
    </w:p>
    <w:bookmarkEnd w:id="73"/>
    <w:bookmarkStart w:id="74" w:name="security-design"/>
    <w:p>
      <w:pPr>
        <w:pStyle w:val="Heading1"/>
      </w:pPr>
      <w:r>
        <w:t xml:space="preserve">18. Security Design</w:t>
      </w:r>
    </w:p>
    <w:p>
      <w:pPr>
        <w:pStyle w:val="FirstParagraph"/>
      </w:pPr>
      <w:r>
        <w:t xml:space="preserve">Service Accounts</w:t>
      </w:r>
    </w:p>
    <w:p>
      <w:pPr>
        <w:pStyle w:val="BodyText"/>
      </w:pPr>
      <w:r>
        <w:t xml:space="preserve">Dataflow Service Account</w:t>
      </w:r>
    </w:p>
    <w:p>
      <w:pPr>
        <w:pStyle w:val="BodyText"/>
      </w:pPr>
      <w:r>
        <w:t xml:space="preserve">Composer Service Account</w:t>
      </w:r>
    </w:p>
    <w:p>
      <w:pPr>
        <w:pStyle w:val="BodyText"/>
      </w:pPr>
      <w:r>
        <w:t xml:space="preserve">BigQuery Service Account</w:t>
      </w:r>
    </w:p>
    <w:p>
      <w:pPr>
        <w:pStyle w:val="BodyText"/>
      </w:pPr>
      <w:r>
        <w:t xml:space="preserve">IAM Roles</w:t>
      </w:r>
    </w:p>
    <w:p>
      <w:pPr>
        <w:pStyle w:val="BodyText"/>
      </w:pPr>
      <w:r>
        <w:t xml:space="preserve">Dataflow Admin</w:t>
      </w:r>
    </w:p>
    <w:p>
      <w:pPr>
        <w:pStyle w:val="BodyText"/>
      </w:pPr>
      <w:r>
        <w:t xml:space="preserve">Storage Admin</w:t>
      </w:r>
    </w:p>
    <w:p>
      <w:pPr>
        <w:pStyle w:val="BodyText"/>
      </w:pPr>
      <w:r>
        <w:t xml:space="preserve">BigQuery Data Editor</w:t>
      </w:r>
    </w:p>
    <w:p>
      <w:pPr>
        <w:pStyle w:val="BodyText"/>
      </w:pPr>
      <w:r>
        <w:t xml:space="preserve">Artifact Registry Reader</w:t>
      </w:r>
    </w:p>
    <w:p>
      <w:pPr>
        <w:pStyle w:val="BodyText"/>
      </w:pPr>
      <w:r>
        <w:t xml:space="preserve">Secret Manager Accessor</w:t>
      </w:r>
    </w:p>
    <w:p>
      <w:r>
        <w:pict>
          <v:rect style="width:0;height:1.5pt" o:hralign="center" o:hrstd="t" o:hr="t"/>
        </w:pict>
      </w:r>
    </w:p>
    <w:bookmarkEnd w:id="74"/>
    <w:bookmarkStart w:id="75" w:name="monitoring-framework"/>
    <w:p>
      <w:pPr>
        <w:pStyle w:val="Heading1"/>
      </w:pPr>
      <w:r>
        <w:t xml:space="preserve">19. Monitoring Framework</w:t>
      </w:r>
    </w:p>
    <w:p>
      <w:pPr>
        <w:pStyle w:val="FirstParagraph"/>
      </w:pPr>
      <w:r>
        <w:t xml:space="preserve">Cloud Logging</w:t>
      </w:r>
    </w:p>
    <w:p>
      <w:pPr>
        <w:pStyle w:val="BodyText"/>
      </w:pPr>
      <w:r>
        <w:t xml:space="preserve">Cloud Monitoring</w:t>
      </w:r>
    </w:p>
    <w:p>
      <w:pPr>
        <w:pStyle w:val="BodyText"/>
      </w:pPr>
      <w:r>
        <w:t xml:space="preserve">Alert Policies</w:t>
      </w:r>
    </w:p>
    <w:p>
      <w:pPr>
        <w:pStyle w:val="BodyText"/>
      </w:pPr>
      <w:r>
        <w:t xml:space="preserve">Dataflow Alerts</w:t>
      </w:r>
    </w:p>
    <w:p>
      <w:pPr>
        <w:pStyle w:val="BodyText"/>
      </w:pPr>
      <w:r>
        <w:t xml:space="preserve">Composer Alerts</w:t>
      </w:r>
    </w:p>
    <w:p>
      <w:pPr>
        <w:pStyle w:val="BodyText"/>
      </w:pPr>
      <w:r>
        <w:t xml:space="preserve">BigQuery Alerts</w:t>
      </w:r>
    </w:p>
    <w:p>
      <w:pPr>
        <w:pStyle w:val="BodyText"/>
      </w:pPr>
      <w:r>
        <w:t xml:space="preserve">Storage Alerts</w:t>
      </w:r>
    </w:p>
    <w:p>
      <w:r>
        <w:pict>
          <v:rect style="width:0;height:1.5pt" o:hralign="center" o:hrstd="t" o:hr="t"/>
        </w:pict>
      </w:r>
    </w:p>
    <w:bookmarkEnd w:id="75"/>
    <w:bookmarkStart w:id="76" w:name="cicd-design"/>
    <w:p>
      <w:pPr>
        <w:pStyle w:val="Heading1"/>
      </w:pPr>
      <w:r>
        <w:t xml:space="preserve">20. CI/CD Design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Cloud Build</w:t>
      </w:r>
    </w:p>
    <w:p>
      <w:pPr>
        <w:pStyle w:val="BodyText"/>
      </w:pPr>
      <w:r>
        <w:t xml:space="preserve">Artifact Registry</w:t>
      </w:r>
    </w:p>
    <w:p>
      <w:pPr>
        <w:pStyle w:val="BodyText"/>
      </w:pPr>
      <w:r>
        <w:t xml:space="preserve">Flex Template Build</w:t>
      </w:r>
    </w:p>
    <w:p>
      <w:pPr>
        <w:pStyle w:val="BodyText"/>
      </w:pPr>
      <w:r>
        <w:t xml:space="preserve">Deployment Pipeline</w:t>
      </w:r>
    </w:p>
    <w:p>
      <w:pPr>
        <w:pStyle w:val="BodyText"/>
      </w:pPr>
      <w:r>
        <w:t xml:space="preserve">Promotion Strategy</w:t>
      </w:r>
    </w:p>
    <w:p>
      <w:pPr>
        <w:pStyle w:val="BodyText"/>
      </w:pPr>
      <w:r>
        <w:t xml:space="preserve">DEV → QA → PROD</w:t>
      </w:r>
    </w:p>
    <w:p>
      <w:r>
        <w:pict>
          <v:rect style="width:0;height:1.5pt" o:hralign="center" o:hrstd="t" o:hr="t"/>
        </w:pict>
      </w:r>
    </w:p>
    <w:bookmarkEnd w:id="76"/>
    <w:bookmarkStart w:id="77" w:name="production-runbook"/>
    <w:p>
      <w:pPr>
        <w:pStyle w:val="Heading1"/>
      </w:pPr>
      <w:r>
        <w:t xml:space="preserve">21. Production Runbook</w:t>
      </w:r>
    </w:p>
    <w:p>
      <w:pPr>
        <w:pStyle w:val="FirstParagraph"/>
      </w:pPr>
      <w:r>
        <w:t xml:space="preserve">Daily Checks</w:t>
      </w:r>
    </w:p>
    <w:p>
      <w:pPr>
        <w:pStyle w:val="BodyText"/>
      </w:pPr>
      <w:r>
        <w:t xml:space="preserve">Dataflow Health</w:t>
      </w:r>
    </w:p>
    <w:p>
      <w:pPr>
        <w:pStyle w:val="BodyText"/>
      </w:pPr>
      <w:r>
        <w:t xml:space="preserve">Composer Health</w:t>
      </w:r>
    </w:p>
    <w:p>
      <w:pPr>
        <w:pStyle w:val="BodyText"/>
      </w:pPr>
      <w:r>
        <w:t xml:space="preserve">BigQuery Validation</w:t>
      </w:r>
    </w:p>
    <w:p>
      <w:pPr>
        <w:pStyle w:val="BodyText"/>
      </w:pPr>
      <w:r>
        <w:t xml:space="preserve">Audit Validation</w:t>
      </w:r>
    </w:p>
    <w:p>
      <w:pPr>
        <w:pStyle w:val="BodyText"/>
      </w:pPr>
      <w:r>
        <w:t xml:space="preserve">Reconciliation Validation</w:t>
      </w:r>
    </w:p>
    <w:p>
      <w:pPr>
        <w:pStyle w:val="BodyText"/>
      </w:pPr>
      <w:r>
        <w:t xml:space="preserve">Incident Management</w:t>
      </w:r>
    </w:p>
    <w:p>
      <w:pPr>
        <w:pStyle w:val="BodyText"/>
      </w:pPr>
      <w:r>
        <w:t xml:space="preserve">L1 Support</w:t>
      </w:r>
    </w:p>
    <w:p>
      <w:pPr>
        <w:pStyle w:val="BodyText"/>
      </w:pPr>
      <w:r>
        <w:t xml:space="preserve">L2 Support</w:t>
      </w:r>
    </w:p>
    <w:p>
      <w:pPr>
        <w:pStyle w:val="BodyText"/>
      </w:pPr>
      <w:r>
        <w:t xml:space="preserve">L3 Support</w:t>
      </w:r>
    </w:p>
    <w:p>
      <w:r>
        <w:pict>
          <v:rect style="width:0;height:1.5pt" o:hralign="center" o:hrstd="t" o:hr="t"/>
        </w:pict>
      </w:r>
    </w:p>
    <w:bookmarkEnd w:id="77"/>
    <w:bookmarkStart w:id="78" w:name="kt-questions-and-answers"/>
    <w:p>
      <w:pPr>
        <w:pStyle w:val="Heading1"/>
      </w:pPr>
      <w:r>
        <w:t xml:space="preserve">22. KT Questions and Answers</w:t>
      </w:r>
    </w:p>
    <w:p>
      <w:pPr>
        <w:pStyle w:val="FirstParagraph"/>
      </w:pPr>
      <w:r>
        <w:t xml:space="preserve">Why Dataflow?</w:t>
      </w:r>
    </w:p>
    <w:p>
      <w:pPr>
        <w:pStyle w:val="BodyText"/>
      </w:pPr>
      <w:r>
        <w:t xml:space="preserve">Why BigQuery?</w:t>
      </w:r>
    </w:p>
    <w:p>
      <w:pPr>
        <w:pStyle w:val="BodyText"/>
      </w:pPr>
      <w:r>
        <w:t xml:space="preserve">Why Composer?</w:t>
      </w:r>
    </w:p>
    <w:p>
      <w:pPr>
        <w:pStyle w:val="BodyText"/>
      </w:pPr>
      <w:r>
        <w:t xml:space="preserve">Why Bronze Layer?</w:t>
      </w:r>
    </w:p>
    <w:p>
      <w:pPr>
        <w:pStyle w:val="BodyText"/>
      </w:pPr>
      <w:r>
        <w:t xml:space="preserve">Why Silver Layer?</w:t>
      </w:r>
    </w:p>
    <w:p>
      <w:pPr>
        <w:pStyle w:val="BodyText"/>
      </w:pPr>
      <w:r>
        <w:t xml:space="preserve">Why Gold Layer?</w:t>
      </w:r>
    </w:p>
    <w:p>
      <w:pPr>
        <w:pStyle w:val="BodyText"/>
      </w:pPr>
      <w:r>
        <w:t xml:space="preserve">How Reconciliation Works?</w:t>
      </w:r>
    </w:p>
    <w:p>
      <w:pPr>
        <w:pStyle w:val="BodyText"/>
      </w:pPr>
      <w:r>
        <w:t xml:space="preserve">How Audit Works?</w:t>
      </w:r>
    </w:p>
    <w:p>
      <w:pPr>
        <w:pStyle w:val="BodyText"/>
      </w:pPr>
      <w:r>
        <w:t xml:space="preserve">How Error Handling Works?</w:t>
      </w:r>
    </w:p>
    <w:p>
      <w:pPr>
        <w:pStyle w:val="BodyText"/>
      </w:pPr>
      <w:r>
        <w:t xml:space="preserve">How Data Quality Works?</w:t>
      </w:r>
    </w:p>
    <w:p>
      <w:r>
        <w:pict>
          <v:rect style="width:0;height:1.5pt" o:hralign="center" o:hrstd="t" o:hr="t"/>
        </w:pict>
      </w:r>
    </w:p>
    <w:bookmarkEnd w:id="78"/>
    <w:bookmarkStart w:id="79" w:name="interview-questions"/>
    <w:p>
      <w:pPr>
        <w:pStyle w:val="Heading1"/>
      </w:pPr>
      <w:r>
        <w:t xml:space="preserve">23. Interview Questions</w:t>
      </w:r>
    </w:p>
    <w:p>
      <w:pPr>
        <w:pStyle w:val="FirstParagraph"/>
      </w:pPr>
      <w:r>
        <w:t xml:space="preserve">Project Explanation</w:t>
      </w:r>
    </w:p>
    <w:p>
      <w:pPr>
        <w:pStyle w:val="BodyText"/>
      </w:pPr>
      <w:r>
        <w:t xml:space="preserve">Architecture Questions</w:t>
      </w:r>
    </w:p>
    <w:p>
      <w:pPr>
        <w:pStyle w:val="BodyText"/>
      </w:pPr>
      <w:r>
        <w:t xml:space="preserve">BigQuery Questions</w:t>
      </w:r>
    </w:p>
    <w:p>
      <w:pPr>
        <w:pStyle w:val="BodyText"/>
      </w:pPr>
      <w:r>
        <w:t xml:space="preserve">Dataflow Questions</w:t>
      </w:r>
    </w:p>
    <w:p>
      <w:pPr>
        <w:pStyle w:val="BodyText"/>
      </w:pPr>
      <w:r>
        <w:t xml:space="preserve">Composer Questions</w:t>
      </w:r>
    </w:p>
    <w:p>
      <w:pPr>
        <w:pStyle w:val="BodyText"/>
      </w:pPr>
      <w:r>
        <w:t xml:space="preserve">Optimization Questions</w:t>
      </w:r>
    </w:p>
    <w:p>
      <w:pPr>
        <w:pStyle w:val="BodyText"/>
      </w:pPr>
      <w:r>
        <w:t xml:space="preserve">Security Questions</w:t>
      </w:r>
    </w:p>
    <w:p>
      <w:pPr>
        <w:pStyle w:val="BodyText"/>
      </w:pPr>
      <w:r>
        <w:t xml:space="preserve">Leadership Questions</w:t>
      </w:r>
    </w:p>
    <w:p>
      <w:pPr>
        <w:pStyle w:val="BodyText"/>
      </w:pPr>
      <w:r>
        <w:t xml:space="preserve">Scenario-Based Questions</w:t>
      </w:r>
    </w:p>
    <w:p>
      <w:pPr>
        <w:pStyle w:val="BodyText"/>
      </w:pPr>
      <w:r>
        <w:t xml:space="preserve">Production Support Questions</w:t>
      </w:r>
    </w:p>
    <w:p>
      <w:r>
        <w:pict>
          <v:rect style="width:0;height:1.5pt" o:hralign="center" o:hrstd="t" o:hr="t"/>
        </w:pict>
      </w:r>
    </w:p>
    <w:bookmarkEnd w:id="79"/>
    <w:bookmarkStart w:id="80" w:name="troubleshooting-guide"/>
    <w:p>
      <w:pPr>
        <w:pStyle w:val="Heading1"/>
      </w:pPr>
      <w:r>
        <w:t xml:space="preserve">24. Troubleshooting Guide</w:t>
      </w:r>
    </w:p>
    <w:p>
      <w:pPr>
        <w:pStyle w:val="FirstParagraph"/>
      </w:pPr>
      <w:r>
        <w:t xml:space="preserve">Dataflow Failures</w:t>
      </w:r>
    </w:p>
    <w:p>
      <w:pPr>
        <w:pStyle w:val="BodyText"/>
      </w:pPr>
      <w:r>
        <w:t xml:space="preserve">Composer Failures</w:t>
      </w:r>
    </w:p>
    <w:p>
      <w:pPr>
        <w:pStyle w:val="BodyText"/>
      </w:pPr>
      <w:r>
        <w:t xml:space="preserve">BigQuery Failures</w:t>
      </w:r>
    </w:p>
    <w:p>
      <w:pPr>
        <w:pStyle w:val="BodyText"/>
      </w:pPr>
      <w:r>
        <w:t xml:space="preserve">Permission Issues</w:t>
      </w:r>
    </w:p>
    <w:p>
      <w:pPr>
        <w:pStyle w:val="BodyText"/>
      </w:pPr>
      <w:r>
        <w:t xml:space="preserve">Memory Issues</w:t>
      </w:r>
    </w:p>
    <w:p>
      <w:pPr>
        <w:pStyle w:val="BodyText"/>
      </w:pPr>
      <w:r>
        <w:t xml:space="preserve">Performance Issues</w:t>
      </w:r>
    </w:p>
    <w:p>
      <w:pPr>
        <w:pStyle w:val="BodyText"/>
      </w:pPr>
      <w:r>
        <w:t xml:space="preserve">Storage Issues</w:t>
      </w:r>
    </w:p>
    <w:p>
      <w:pPr>
        <w:pStyle w:val="BodyText"/>
      </w:pPr>
      <w:r>
        <w:t xml:space="preserve">Template Issues</w:t>
      </w:r>
    </w:p>
    <w:p>
      <w:r>
        <w:pict>
          <v:rect style="width:0;height:1.5pt" o:hralign="center" o:hrstd="t" o:hr="t"/>
        </w:pict>
      </w:r>
    </w:p>
    <w:bookmarkEnd w:id="80"/>
    <w:bookmarkStart w:id="81" w:name="appendix"/>
    <w:p>
      <w:pPr>
        <w:pStyle w:val="Heading1"/>
      </w:pPr>
      <w:r>
        <w:t xml:space="preserve">25. Appendix</w:t>
      </w:r>
    </w:p>
    <w:p>
      <w:pPr>
        <w:pStyle w:val="FirstParagraph"/>
      </w:pPr>
      <w:r>
        <w:t xml:space="preserve">Deployment Commands</w:t>
      </w:r>
    </w:p>
    <w:p>
      <w:pPr>
        <w:pStyle w:val="BodyText"/>
      </w:pPr>
      <w:r>
        <w:t xml:space="preserve">Cloud Build Commands</w:t>
      </w:r>
    </w:p>
    <w:p>
      <w:pPr>
        <w:pStyle w:val="BodyText"/>
      </w:pPr>
      <w:r>
        <w:t xml:space="preserve">Dataflow Commands</w:t>
      </w:r>
    </w:p>
    <w:p>
      <w:pPr>
        <w:pStyle w:val="BodyText"/>
      </w:pPr>
      <w:r>
        <w:t xml:space="preserve">Composer Commands</w:t>
      </w:r>
    </w:p>
    <w:p>
      <w:pPr>
        <w:pStyle w:val="BodyText"/>
      </w:pPr>
      <w:r>
        <w:t xml:space="preserve">BigQuery Commands</w:t>
      </w:r>
    </w:p>
    <w:p>
      <w:pPr>
        <w:pStyle w:val="BodyText"/>
      </w:pPr>
      <w:r>
        <w:t xml:space="preserve">GCP Architecture Diagrams</w:t>
      </w:r>
    </w:p>
    <w:p>
      <w:pPr>
        <w:pStyle w:val="BodyText"/>
      </w:pPr>
      <w:r>
        <w:t xml:space="preserve">Reference Links</w:t>
      </w:r>
    </w:p>
    <w:p>
      <w:pPr>
        <w:pStyle w:val="BodyText"/>
      </w:pPr>
      <w:r>
        <w:t xml:space="preserve">Glossary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2026-06-21T13:36:04Z</dcterms:created>
  <dcterms:modified xsi:type="dcterms:W3CDTF">2026-06-21T13:36:04Z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