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47C20"/>
          <w:sz w:val="18"/>
        </w:rPr>
        <w:t>AI FOR DATA • ENTERPRISE KNOWLEDGE</w:t>
      </w:r>
    </w:p>
    <w:p>
      <w:pPr>
        <w:pStyle w:val="Title"/>
      </w:pPr>
      <w:r>
        <w:t>Full-Scale Implementation Approach</w:t>
      </w:r>
    </w:p>
    <w:p>
      <w:r>
        <w:rPr>
          <w:color w:val="5E6670"/>
          <w:sz w:val="26"/>
        </w:rPr>
        <w:t>Enterprise knowledge asset factory for multi-domain, continuously maintained knowledge graphs</w:t>
      </w:r>
    </w:p>
    <w:p>
      <w:r>
        <w:rPr>
          <w:b/>
          <w:color w:val="F47C20"/>
          <w:sz w:val="36"/>
        </w:rPr>
        <w:t>Knowledge Asset Construction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 w:val="true"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Purpose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Implementation approach for creating graph-ready assets from structured, unstructured or hybrid enterprise data.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Operating model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Autonomous agent with dynamic orchestration, reactive reasoning, deterministic tools and human review gates.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Document status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Reference implementation approach; indicative scale targets should be validated against client infrastructure, models and source characteristics.</w:t>
            </w:r>
          </w:p>
        </w:tc>
      </w:tr>
    </w:tbl>
    <w:p>
      <w:r>
        <w:br w:type="page"/>
      </w:r>
    </w:p>
    <w:p>
      <w:pPr>
        <w:pStyle w:val="Heading1"/>
      </w:pPr>
      <w:r>
        <w:t>1. Solution intent</w:t>
      </w:r>
    </w:p>
    <w:p>
      <w:r>
        <w:rPr>
          <w:b/>
        </w:rPr>
        <w:t xml:space="preserve">The Knowledge Asset Construction Agent </w:t>
      </w:r>
      <w:r>
        <w:t>creates governed, graph-ready assets from structured, unstructured or hybrid enterprise sources. It does not assume a fixed ETL-style workflow. The supervisor interprets the knowledge objective, inspects the available inputs, forms an execution plan, invokes specialist tools, evaluates intermediate outputs and re-plans when quality thresholds are not met.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Key architectural principle</w:t>
              <w:br/>
            </w:r>
            <w:r>
              <w:rPr>
                <w:color w:val="2E3238"/>
              </w:rPr>
              <w:t>Source modality determines the execution path; it does not create separate products. The same agentic framework can be deployed for structured-only, unstructured-only or hybrid use cases.</w:t>
            </w:r>
          </w:p>
        </w:tc>
      </w:tr>
    </w:tbl>
    <w:p>
      <w:pPr>
        <w:spacing w:after="40"/>
      </w:pPr>
    </w:p>
    <w:p>
      <w:pPr>
        <w:pStyle w:val="Heading1"/>
      </w:pPr>
      <w:r>
        <w:t>2. Graph-ready asset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80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Asset level</w:t>
            </w:r>
          </w:p>
        </w:tc>
        <w:tc>
          <w:tcPr>
            <w:tcW w:type="dxa" w:w="302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47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Representative outputs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L0 - Source &amp; evidence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Preserve source context and traceability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metadata, schema/document structure, chunks, page/section references, provenance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L1 - Metadata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Describe enterprise information assets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Datasets, tables, columns, documents, owners, tags, lineage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L2 - Entity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Identify and canonicalize business/technical entities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Entity types, canonical IDs, aliases, attributes, mentions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L3 - Relationship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Connect entities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Explicit/inferred edges, relationship properties, confidence,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L4 - Semantic/domain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 enterprise meaning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 terms, concepts, taxonomy, ontology mappings, semantic types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L5 - Contextual knowledge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Represent facts and business context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Claims, facts, events, temporal context, business rules,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L6 - Consumption assets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Prepare graph for downstream use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 views, retrieval paths, context packages, graph projections, publication manifest</w:t>
            </w:r>
          </w:p>
        </w:tc>
      </w:tr>
    </w:tbl>
    <w:p>
      <w:pPr>
        <w:spacing w:after="40"/>
      </w:pPr>
    </w:p>
    <w:p>
      <w:pPr>
        <w:pStyle w:val="Heading1"/>
      </w:pPr>
      <w:r>
        <w:t>3. Agent input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Input group</w:t>
            </w:r>
          </w:p>
        </w:tc>
        <w:tc>
          <w:tcPr>
            <w:tcW w:type="dxa" w:w="11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691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What can be supplied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 objective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Business/domain objective, intended graph purpose, priority concepts or questions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Source scope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Structured, unstructured or hybrid source selection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context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 but recommended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Glossary, taxonomy, ontology, data model, catalog exports, existing graph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Operating policy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Autonomy level, allowed tools/actions, HITL gates, publication permissions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 policy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Confidence thresholds, validation rules, merge/review thresholds, provenance requirements</w:t>
            </w:r>
          </w:p>
        </w:tc>
      </w:tr>
    </w:tbl>
    <w:p>
      <w:pPr>
        <w:spacing w:after="40"/>
      </w:pPr>
    </w:p>
    <w:p>
      <w:pPr>
        <w:pStyle w:val="Heading1"/>
      </w:pPr>
      <w:r>
        <w:t>4. Full-scale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Enterprise implementation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ecosystem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Federated connectors across databases, lakehouses, catalogs, APIs, object stores, content repositories and event feeds.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Domains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Multi-domain deployment with domain-specific ontologies, policies and quality profiles plus shared enterprise concepts.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Processing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Distributed, asynchronous and incremental processing with workload prioritization and back-pressure.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Knowledge lifecycle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Continuous discovery, extraction, resolution, validation, graph update, quality monitoring and retirement/versioning.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Agent autonomy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Policy-bounded autonomous orchestration with reactive planning, tool selection, retries, alternate strategies and escalation.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Graph estate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Support one enterprise graph, federated graphs or multiple domain graphs linked through canonical concepts/IDs.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Consumption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APIs, RAG/agent retrieval, semantic search, domain views, data/AI product integration and lineage/context services.</w:t>
            </w:r>
          </w:p>
        </w:tc>
      </w:tr>
    </w:tbl>
    <w:p>
      <w:pPr>
        <w:spacing w:after="40"/>
      </w:pPr>
    </w:p>
    <w:p>
      <w:pPr>
        <w:pStyle w:val="Heading1"/>
      </w:pPr>
      <w:r>
        <w:t>5. Enterprise agent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30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8208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Full-scale behavior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Dynamic planning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 an execution DAG/plan from objective, source type, source state, graph state and policy.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Reactive reasoning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Observe intermediate quality and change course when parsing, mapping, extraction or resolution underperforms.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Tool specialization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Use deterministic parsers, profilers, catalogs, graph algorithms, rules and validators where preferable to LLM-only inference.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Hierarchical agents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Supervisor coordinates source understanding, semantic discovery, entity resolution, graph modelling, governance and quality specialists.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Persistent context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Retain learned mappings, reviewer feedback, source signatures, graph state and domain context across runs.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Policy enforcement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Apply autonomy, security, data residency, confidence, cost and publication policies before actions are executed.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Human governance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Escalate novel ontology changes, critical merges, contradictions, policy violations or low-confidence high-impact assets.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Reference enterprise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376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136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Enterprise components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Experience &amp; APIs</w:t>
            </w:r>
          </w:p>
        </w:tc>
        <w:tc>
          <w:tcPr>
            <w:tcW w:type="dxa" w:w="8136"/>
            <w:vAlign w:val="top"/>
          </w:tcPr>
          <w:p>
            <w:pPr>
              <w:spacing w:after="20"/>
            </w:pPr>
            <w:r>
              <w:rPr>
                <w:sz w:val="16"/>
              </w:rPr>
              <w:t>Multi-tenant/domain workspace, project lifecycle, reviewer queues, lineage/evidence explorer, administration, APIs/MCP where required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Agent runtime</w:t>
            </w:r>
          </w:p>
        </w:tc>
        <w:tc>
          <w:tcPr>
            <w:tcW w:type="dxa" w:w="81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Supervisor, planning/state graph, specialist agents, tool registry, policy engine, durable task state, event bus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integration</w:t>
            </w:r>
          </w:p>
        </w:tc>
        <w:tc>
          <w:tcPr>
            <w:tcW w:type="dxa" w:w="8136"/>
            <w:vAlign w:val="top"/>
          </w:tcPr>
          <w:p>
            <w:pPr>
              <w:spacing w:after="20"/>
            </w:pPr>
            <w:r>
              <w:rPr>
                <w:sz w:val="16"/>
              </w:rPr>
              <w:t>Connector framework, metadata crawlers, CDC/event ingestion where appropriate, repository/object-store connectors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Processing fabric</w:t>
            </w:r>
          </w:p>
        </w:tc>
        <w:tc>
          <w:tcPr>
            <w:tcW w:type="dxa" w:w="81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Distributed document processing, schema/data profiling, OCR/transcription, enrichment workers, caching and batching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 engineering</w:t>
            </w:r>
          </w:p>
        </w:tc>
        <w:tc>
          <w:tcPr>
            <w:tcW w:type="dxa" w:w="8136"/>
            <w:vAlign w:val="top"/>
          </w:tcPr>
          <w:p>
            <w:pPr>
              <w:spacing w:after="20"/>
            </w:pPr>
            <w:r>
              <w:rPr>
                <w:sz w:val="16"/>
              </w:rPr>
              <w:t>Semantic discovery, ontology/taxonomy management, entity resolution, fact/event modelling, graph schema management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Knowledge Asset Store</w:t>
            </w:r>
          </w:p>
        </w:tc>
        <w:tc>
          <w:tcPr>
            <w:tcW w:type="dxa" w:w="81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Versioned canonical entities, relationships, facts, mappings, provenance, quality, review and graph manifests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platform</w:t>
            </w:r>
          </w:p>
        </w:tc>
        <w:tc>
          <w:tcPr>
            <w:tcW w:type="dxa" w:w="8136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database/federation, incremental writer, constraints/indexes, graph quality jobs, graph versioning/projections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Governance</w:t>
            </w:r>
          </w:p>
        </w:tc>
        <w:tc>
          <w:tcPr>
            <w:tcW w:type="dxa" w:w="81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IAM, policies, classification, lineage, audit, approvals, data residency, retention and model/tool governance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8136"/>
            <w:vAlign w:val="top"/>
          </w:tcPr>
          <w:p>
            <w:pPr>
              <w:spacing w:after="20"/>
            </w:pPr>
            <w:r>
              <w:rPr>
                <w:sz w:val="16"/>
              </w:rPr>
              <w:t>SLOs, observability, workload management, cost controls, model/parser evaluation, capacity management, DR/BCP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Indicative enterprise scale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Scale interpretation</w:t>
              <w:br/>
            </w:r>
            <w:r>
              <w:rPr>
                <w:color w:val="2E3238"/>
              </w:rPr>
              <w:t>Enterprise scale must be capacity-engineered against source velocity, document complexity, graph density, graph engine and model/tool economics. These are architectural design bands rather than guaranteed limits.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23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88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full-scale design band</w:t>
            </w:r>
          </w:p>
        </w:tc>
        <w:tc>
          <w:tcPr>
            <w:tcW w:type="dxa" w:w="540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Architecture implication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Connected systems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10s to 100s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Connector framework, federated credentials, metadata crawling and source-level throttling.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Tables/views</w:t>
            </w:r>
          </w:p>
        </w:tc>
        <w:tc>
          <w:tcPr>
            <w:tcW w:type="dxa" w:w="288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10K-100K+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Incremental metadata processing, partitioned/domain processing and catalog integration.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Columns/attributes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100K-1M+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Distributed semantic mapping, caching and governed canonical concept registry.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 corpus</w:t>
            </w:r>
          </w:p>
        </w:tc>
        <w:tc>
          <w:tcPr>
            <w:tcW w:type="dxa" w:w="288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1M-100M+ documents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Object-store/repository scale, distributed parsing, prioritization and incremental enrichment.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Content units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10M-1B+ pages/chunks/equivalent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Tiered processing, asynchronous queues, selective reprocessing and model routing.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Graph entities</w:t>
            </w:r>
          </w:p>
        </w:tc>
        <w:tc>
          <w:tcPr>
            <w:tcW w:type="dxa" w:w="288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10M-1B+ nodes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Partitioning/federation/index strategy depends on selected graph platform.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relationships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100M-several B edges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density, query patterns and storage engine become key architecture drivers.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Users/consumers</w:t>
            </w:r>
          </w:p>
        </w:tc>
        <w:tc>
          <w:tcPr>
            <w:tcW w:type="dxa" w:w="288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100s-1000s+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RBAC, domain isolation, API quotas, workload governance and multiple consumption patterns.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Freshness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Batch to near-real-time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Different source classes can use scheduled, event-driven or CDC-backed update patterns.</w:t>
            </w:r>
          </w:p>
        </w:tc>
      </w:tr>
    </w:tbl>
    <w:p>
      <w:pPr>
        <w:spacing w:after="40"/>
      </w:pPr>
    </w:p>
    <w:p>
      <w:pPr>
        <w:pStyle w:val="Heading1"/>
      </w:pPr>
      <w:r>
        <w:t>8. Enterprise-scale design patterns</w:t>
      </w:r>
    </w:p>
    <w:p>
      <w:pPr>
        <w:pStyle w:val="ListBullet"/>
        <w:spacing w:after="40"/>
      </w:pPr>
      <w:r>
        <w:t>Metadata-first processing: inspect source changes before moving or sampling large datasets.</w:t>
      </w:r>
    </w:p>
    <w:p>
      <w:pPr>
        <w:pStyle w:val="ListBullet"/>
        <w:spacing w:after="40"/>
      </w:pPr>
      <w:r>
        <w:t>Incremental knowledge construction: process changed/new assets rather than rebuilding the complete graph.</w:t>
      </w:r>
    </w:p>
    <w:p>
      <w:pPr>
        <w:pStyle w:val="ListBullet"/>
        <w:spacing w:after="40"/>
      </w:pPr>
      <w:r>
        <w:t>Content fingerprinting: avoid re-parsing identical documents and sections.</w:t>
      </w:r>
    </w:p>
    <w:p>
      <w:pPr>
        <w:pStyle w:val="ListBullet"/>
        <w:spacing w:after="40"/>
      </w:pPr>
      <w:r>
        <w:t>Model/tool routing: choose cheaper deterministic or small-model tools for routine tasks; reserve stronger models for ambiguous reasoning.</w:t>
      </w:r>
    </w:p>
    <w:p>
      <w:pPr>
        <w:pStyle w:val="ListBullet"/>
        <w:spacing w:after="40"/>
      </w:pPr>
      <w:r>
        <w:t>Entity resolution tiers: exact/rule match → embedding/feature match → LLM-assisted adjudication → human review.</w:t>
      </w:r>
    </w:p>
    <w:p>
      <w:pPr>
        <w:pStyle w:val="ListBullet"/>
        <w:spacing w:after="40"/>
      </w:pPr>
      <w:r>
        <w:t>Domain partitioning: isolate processing, policies and ontologies while preserving enterprise canonical concepts.</w:t>
      </w:r>
    </w:p>
    <w:p>
      <w:pPr>
        <w:pStyle w:val="ListBullet"/>
        <w:spacing w:after="40"/>
      </w:pPr>
      <w:r>
        <w:t>Graph publication staging: candidate → validated → approved → published states.</w:t>
      </w:r>
    </w:p>
    <w:p>
      <w:pPr>
        <w:pStyle w:val="ListBullet"/>
        <w:spacing w:after="40"/>
      </w:pPr>
      <w:r>
        <w:t>Evidence-first graph: store source provenance and validity for extracted claims and relationships.</w:t>
      </w:r>
    </w:p>
    <w:p>
      <w:pPr>
        <w:pStyle w:val="ListBullet"/>
        <w:spacing w:after="40"/>
      </w:pPr>
      <w:r>
        <w:t>Continuous evaluation: monitor extraction drift, resolution precision, ontology violations, contradictions and graph coverage.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Enterprise expectation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Highly available control plane; durable asynchronous processing; graph serving aligned to downstream SLOs.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Enterprise SSO, fine-grained RBAC/ABAC, secrets rotation, encryption, network isolation and source-policy propagation.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End-to-end action trace, source/evidence lineage, agent/tool decision logs, approvals and graph change history.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Resilience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Idempotent jobs, checkpointing, retry policy, dead-letter/quarantine, DR and recoverable publication.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Horizontal processing scale, queue-based workloads, autoscaling and workload prioritization.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Cost governance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Budget/policy limits, model routing, caching, token/compute accounting and domain chargeback where required.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 governance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Domain-specific scorecards, golden sets, regression tests, confidence calibration and release gates.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Lifecycle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Versioned ontology/assets, deprecation/retirement, source deletion propagation and reproducible graph versions.</w:t>
            </w:r>
          </w:p>
        </w:tc>
      </w:tr>
    </w:tbl>
    <w:p>
      <w:pPr>
        <w:spacing w:after="40"/>
      </w:pPr>
    </w:p>
    <w:p>
      <w:pPr>
        <w:pStyle w:val="Heading1"/>
      </w:pPr>
      <w:r>
        <w:t>10. Production rollout model</w:t>
      </w:r>
    </w:p>
    <w:p>
      <w:pPr>
        <w:pStyle w:val="ListNumber"/>
        <w:spacing w:after="40"/>
      </w:pPr>
      <w:r>
        <w:t>Establish enterprise standards: canonical asset schema, provenance model, graph conventions, autonomy policy and quality framework.</w:t>
      </w:r>
    </w:p>
    <w:p>
      <w:pPr>
        <w:pStyle w:val="ListNumber"/>
        <w:spacing w:after="40"/>
      </w:pPr>
      <w:r>
        <w:t>Onboard one anchor domain and productionize the reusable agent/control-plane foundation.</w:t>
      </w:r>
    </w:p>
    <w:p>
      <w:pPr>
        <w:pStyle w:val="ListNumber"/>
        <w:spacing w:after="40"/>
      </w:pPr>
      <w:r>
        <w:t>Create connector and tool adapters as shared platform capabilities rather than domain-specific code.</w:t>
      </w:r>
    </w:p>
    <w:p>
      <w:pPr>
        <w:pStyle w:val="ListNumber"/>
        <w:spacing w:after="40"/>
      </w:pPr>
      <w:r>
        <w:t>Roll out additional domains using configuration, ontology packs, policy packs and reusable learned mappings.</w:t>
      </w:r>
    </w:p>
    <w:p>
      <w:pPr>
        <w:pStyle w:val="ListNumber"/>
        <w:spacing w:after="40"/>
      </w:pPr>
      <w:r>
        <w:t>Introduce continuous/incremental update patterns after stable batch processing is established.</w:t>
      </w:r>
    </w:p>
    <w:p>
      <w:pPr>
        <w:pStyle w:val="ListNumber"/>
        <w:spacing w:after="40"/>
      </w:pPr>
      <w:r>
        <w:t>Federate domain graphs or publish to a shared enterprise graph according to ownership, scale and query requirements.</w:t>
      </w:r>
    </w:p>
    <w:p>
      <w:pPr>
        <w:pStyle w:val="ListNumber"/>
        <w:spacing w:after="40"/>
      </w:pPr>
      <w:r>
        <w:t>Operate continuous evaluation, model/tool upgrades, graph quality monitoring and cost optimization.</w:t>
      </w:r>
    </w:p>
    <w:p>
      <w:pPr>
        <w:pStyle w:val="Heading1"/>
      </w:pPr>
      <w:r>
        <w:t>11. Full-scale success criteria</w:t>
      </w:r>
    </w:p>
    <w:p>
      <w:pPr>
        <w:pStyle w:val="ListBullet"/>
        <w:spacing w:after="40"/>
      </w:pPr>
      <w:r>
        <w:t>Multiple domains and source modalities are onboarded through a reusable agentic platform rather than custom pipelines.</w:t>
      </w:r>
    </w:p>
    <w:p>
      <w:pPr>
        <w:pStyle w:val="ListBullet"/>
        <w:spacing w:after="40"/>
      </w:pPr>
      <w:r>
        <w:t>Knowledge assets are versioned, evidence-linked, quality-scored and reusable independently of the physical graph database.</w:t>
      </w:r>
    </w:p>
    <w:p>
      <w:pPr>
        <w:pStyle w:val="ListBullet"/>
        <w:spacing w:after="40"/>
      </w:pPr>
      <w:r>
        <w:t>Graph updates are incremental and policy-controlled.</w:t>
      </w:r>
    </w:p>
    <w:p>
      <w:pPr>
        <w:pStyle w:val="ListBullet"/>
        <w:spacing w:after="40"/>
      </w:pPr>
      <w:r>
        <w:t>Agent decisions and automated actions are auditable and reproducible at an appropriate enterprise level.</w:t>
      </w:r>
    </w:p>
    <w:p>
      <w:pPr>
        <w:pStyle w:val="ListBullet"/>
        <w:spacing w:after="40"/>
      </w:pPr>
      <w:r>
        <w:t>The platform scales horizontally for high-volume document and metadata processing.</w:t>
      </w:r>
    </w:p>
    <w:p>
      <w:pPr>
        <w:pStyle w:val="ListBullet"/>
        <w:spacing w:after="40"/>
      </w:pPr>
      <w:r>
        <w:t>Graph outputs support multiple downstream applications without duplicating source understanding and knowledge engineering.</w:t>
      </w:r>
    </w:p>
    <w:p>
      <w:pPr>
        <w:pStyle w:val="ListBullet"/>
        <w:spacing w:after="40"/>
      </w:pPr>
      <w:r>
        <w:t>Operational SLOs, quality KPIs and cost controls are measured and governed.</w:t>
      </w:r>
    </w:p>
    <w:p>
      <w:pPr>
        <w:pStyle w:val="Heading1"/>
      </w:pPr>
      <w:r>
        <w:t>12. Indicative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59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48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duration</w:t>
            </w:r>
          </w:p>
        </w:tc>
        <w:tc>
          <w:tcPr>
            <w:tcW w:type="dxa" w:w="547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Primary outcome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discovery &amp; blueprint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3-5 weeks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Domains, sources, target graph strategy, NFRs, security, governance, operating model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Platform foundation</w:t>
            </w:r>
          </w:p>
        </w:tc>
        <w:tc>
          <w:tcPr>
            <w:tcW w:type="dxa" w:w="244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5-8 weeks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Agent runtime, asset model/store, connector framework, graph adapter, IAM/observability foundation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Anchor-domain implementation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6-10 weeks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Production structured/unstructured paths, ontology/entity resolution, HITL and graph publication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Scale &amp; hardening</w:t>
            </w:r>
          </w:p>
        </w:tc>
        <w:tc>
          <w:tcPr>
            <w:tcW w:type="dxa" w:w="244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4-8 weeks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Distributed processing, resilience, performance/load testing, DR, cost controls, SLOs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 rollout waves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Ongoing in 4-8 week waves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Additional domains/connectors/configuration using reusable platform assets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670"/>
        <w:sz w:val="16"/>
      </w:rPr>
      <w:t xml:space="preserve">Knowledge Asset Construction Agent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E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3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F47C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E3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E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