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F47C20"/>
          <w:sz w:val="18"/>
        </w:rPr>
        <w:t>AI FOR DATA • ENTERPRISE KNOWLEDGE</w:t>
      </w:r>
    </w:p>
    <w:p>
      <w:pPr>
        <w:pStyle w:val="Title"/>
      </w:pPr>
      <w:r>
        <w:t>MVP Implementation Approach</w:t>
      </w:r>
    </w:p>
    <w:p>
      <w:r>
        <w:rPr>
          <w:color w:val="5E6670"/>
          <w:sz w:val="26"/>
        </w:rPr>
        <w:t>Connected domain-scale implementation for production pilot and repeatable knowledge asset creation</w:t>
      </w:r>
    </w:p>
    <w:p>
      <w:r>
        <w:rPr>
          <w:b/>
          <w:color w:val="F47C20"/>
          <w:sz w:val="36"/>
        </w:rPr>
        <w:t>Knowledge Asset Construction Agent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48"/>
        <w:gridCol w:w="7776"/>
      </w:tblGrid>
      <w:tr>
        <w:trPr>
          <w:cantSplit/>
          <w:tblHeader w:val="true"/>
        </w:trPr>
        <w:tc>
          <w:tcPr>
            <w:tcW w:type="dxa" w:w="5112"/>
            <w:tcBorders>
              <w:bottom w:val="single" w:sz="4" w:color="D9DDE2"/>
            </w:tcBorders>
          </w:tcPr>
          <w:p>
            <w:r>
              <w:rPr>
                <w:b/>
                <w:color w:val="2E3238"/>
              </w:rPr>
              <w:t>Purpose</w:t>
            </w:r>
          </w:p>
        </w:tc>
        <w:tc>
          <w:tcPr>
            <w:tcW w:type="dxa" w:w="5112"/>
            <w:tcBorders>
              <w:bottom w:val="single" w:sz="4" w:color="D9DDE2"/>
            </w:tcBorders>
          </w:tcPr>
          <w:p>
            <w:r>
              <w:t>Implementation approach for creating graph-ready assets from structured, unstructured or hybrid enterprise data.</w:t>
            </w:r>
          </w:p>
        </w:tc>
      </w:tr>
      <w:tr>
        <w:trPr>
          <w:cantSplit/>
        </w:trPr>
        <w:tc>
          <w:tcPr>
            <w:tcW w:type="dxa" w:w="5112"/>
            <w:tcBorders>
              <w:bottom w:val="single" w:sz="4" w:color="D9DDE2"/>
            </w:tcBorders>
          </w:tcPr>
          <w:p>
            <w:r>
              <w:rPr>
                <w:b/>
                <w:color w:val="2E3238"/>
              </w:rPr>
              <w:t>Operating model</w:t>
            </w:r>
          </w:p>
        </w:tc>
        <w:tc>
          <w:tcPr>
            <w:tcW w:type="dxa" w:w="5112"/>
            <w:tcBorders>
              <w:bottom w:val="single" w:sz="4" w:color="D9DDE2"/>
            </w:tcBorders>
          </w:tcPr>
          <w:p>
            <w:r>
              <w:t>Autonomous agent with dynamic orchestration, reactive reasoning, deterministic tools and human review gates.</w:t>
            </w:r>
          </w:p>
        </w:tc>
      </w:tr>
      <w:tr>
        <w:trPr>
          <w:cantSplit/>
        </w:trPr>
        <w:tc>
          <w:tcPr>
            <w:tcW w:type="dxa" w:w="5112"/>
            <w:tcBorders>
              <w:bottom w:val="single" w:sz="4" w:color="D9DDE2"/>
            </w:tcBorders>
          </w:tcPr>
          <w:p>
            <w:r>
              <w:rPr>
                <w:b/>
                <w:color w:val="2E3238"/>
              </w:rPr>
              <w:t>Document status</w:t>
            </w:r>
          </w:p>
        </w:tc>
        <w:tc>
          <w:tcPr>
            <w:tcW w:type="dxa" w:w="5112"/>
            <w:tcBorders>
              <w:bottom w:val="single" w:sz="4" w:color="D9DDE2"/>
            </w:tcBorders>
          </w:tcPr>
          <w:p>
            <w:r>
              <w:t>Reference implementation approach; indicative scale targets should be validated against client infrastructure, models and source characteristics.</w:t>
            </w:r>
          </w:p>
        </w:tc>
      </w:tr>
    </w:tbl>
    <w:p>
      <w:r>
        <w:br w:type="page"/>
      </w:r>
    </w:p>
    <w:p>
      <w:pPr>
        <w:pStyle w:val="Heading1"/>
      </w:pPr>
      <w:r>
        <w:t>1. Solution intent</w:t>
      </w:r>
    </w:p>
    <w:p>
      <w:r>
        <w:rPr>
          <w:b/>
        </w:rPr>
        <w:t xml:space="preserve">The Knowledge Asset Construction Agent </w:t>
      </w:r>
      <w:r>
        <w:t>creates governed, graph-ready assets from structured, unstructured or hybrid enterprise sources. It does not assume a fixed ETL-style workflow. The supervisor interprets the knowledge objective, inspects the available inputs, forms an execution plan, invokes specialist tools, evaluates intermediate outputs and re-plans when quality thresholds are not met.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  <w:tblHeader w:val="true"/>
        </w:trPr>
        <w:tc>
          <w:tcPr>
            <w:tcW w:type="dxa" w:w="10224"/>
            <w:shd w:fill="FFF6EF"/>
            <w:tcBorders>
              <w:top w:val="single" w:sz="4" w:color="F1D6C3"/>
              <w:left w:val="single" w:sz="18" w:color="F47C20"/>
              <w:bottom w:val="single" w:sz="4" w:color="F1D6C3"/>
              <w:right w:val="single" w:sz="4" w:color="F1D6C3"/>
            </w:tcBorders>
          </w:tcPr>
          <w:p>
            <w:r>
              <w:rPr>
                <w:b/>
                <w:color w:val="F47C20"/>
              </w:rPr>
              <w:t>Key architectural principle</w:t>
              <w:br/>
            </w:r>
            <w:r>
              <w:rPr>
                <w:color w:val="2E3238"/>
              </w:rPr>
              <w:t>Source modality determines the execution path; it does not create separate products. The same agentic framework can be deployed for structured-only, unstructured-only or hybrid use cases.</w:t>
            </w:r>
          </w:p>
        </w:tc>
      </w:tr>
    </w:tbl>
    <w:p>
      <w:pPr>
        <w:spacing w:after="40"/>
      </w:pPr>
    </w:p>
    <w:p>
      <w:pPr>
        <w:pStyle w:val="Heading1"/>
      </w:pPr>
      <w:r>
        <w:t>2. Graph-ready asset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  <w:tblHeader w:val="true"/>
        </w:trPr>
        <w:tc>
          <w:tcPr>
            <w:tcW w:type="dxa" w:w="1800"/>
            <w:shd w:fill="2E3238"/>
            <w:vAlign w:val="center"/>
          </w:tcPr>
          <w:p>
            <w:r>
              <w:rPr>
                <w:b/>
                <w:color w:val="FFFFFF"/>
                <w:sz w:val="17"/>
              </w:rPr>
              <w:t>Asset level</w:t>
            </w:r>
          </w:p>
        </w:tc>
        <w:tc>
          <w:tcPr>
            <w:tcW w:type="dxa" w:w="3024"/>
            <w:shd w:fill="2E3238"/>
            <w:vAlign w:val="center"/>
          </w:tcPr>
          <w:p>
            <w:r>
              <w:rPr>
                <w:b/>
                <w:color w:val="FFFFFF"/>
                <w:sz w:val="17"/>
              </w:rPr>
              <w:t>Purpose</w:t>
            </w:r>
          </w:p>
        </w:tc>
        <w:tc>
          <w:tcPr>
            <w:tcW w:type="dxa" w:w="5472"/>
            <w:shd w:fill="2E3238"/>
            <w:vAlign w:val="center"/>
          </w:tcPr>
          <w:p>
            <w:r>
              <w:rPr>
                <w:b/>
                <w:color w:val="FFFFFF"/>
                <w:sz w:val="17"/>
              </w:rPr>
              <w:t>Representative outputs</w:t>
            </w:r>
          </w:p>
        </w:tc>
      </w:tr>
      <w:tr>
        <w:trPr>
          <w:cantSplit/>
        </w:trPr>
        <w:tc>
          <w:tcPr>
            <w:tcW w:type="dxa" w:w="1800"/>
            <w:vAlign w:val="top"/>
          </w:tcPr>
          <w:p>
            <w:pPr>
              <w:spacing w:after="20"/>
            </w:pPr>
            <w:r>
              <w:rPr>
                <w:sz w:val="16"/>
              </w:rPr>
              <w:t>L0 - Source &amp; evidence</w:t>
            </w:r>
          </w:p>
        </w:tc>
        <w:tc>
          <w:tcPr>
            <w:tcW w:type="dxa" w:w="3024"/>
            <w:vAlign w:val="top"/>
          </w:tcPr>
          <w:p>
            <w:pPr>
              <w:spacing w:after="20"/>
            </w:pPr>
            <w:r>
              <w:rPr>
                <w:sz w:val="16"/>
              </w:rPr>
              <w:t>Preserve source context and traceability</w:t>
            </w:r>
          </w:p>
        </w:tc>
        <w:tc>
          <w:tcPr>
            <w:tcW w:type="dxa" w:w="5472"/>
            <w:vAlign w:val="top"/>
          </w:tcPr>
          <w:p>
            <w:pPr>
              <w:spacing w:after="20"/>
            </w:pPr>
            <w:r>
              <w:rPr>
                <w:sz w:val="16"/>
              </w:rPr>
              <w:t>Source metadata, schema/document structure, chunks, page/section references, provenance</w:t>
            </w:r>
          </w:p>
        </w:tc>
      </w:tr>
      <w:tr>
        <w:trPr>
          <w:cantSplit/>
        </w:trPr>
        <w:tc>
          <w:tcPr>
            <w:tcW w:type="dxa" w:w="1800"/>
            <w:vAlign w:val="top"/>
            <w:shd w:fill="FAFAFB"/>
          </w:tcPr>
          <w:p>
            <w:pPr>
              <w:spacing w:after="20"/>
            </w:pPr>
            <w:r>
              <w:rPr>
                <w:sz w:val="16"/>
              </w:rPr>
              <w:t>L1 - Metadata graph</w:t>
            </w:r>
          </w:p>
        </w:tc>
        <w:tc>
          <w:tcPr>
            <w:tcW w:type="dxa" w:w="3024"/>
            <w:vAlign w:val="top"/>
            <w:shd w:fill="FAFAFB"/>
          </w:tcPr>
          <w:p>
            <w:pPr>
              <w:spacing w:after="20"/>
            </w:pPr>
            <w:r>
              <w:rPr>
                <w:sz w:val="16"/>
              </w:rPr>
              <w:t>Describe enterprise information assets</w:t>
            </w:r>
          </w:p>
        </w:tc>
        <w:tc>
          <w:tcPr>
            <w:tcW w:type="dxa" w:w="5472"/>
            <w:vAlign w:val="top"/>
            <w:shd w:fill="FAFAFB"/>
          </w:tcPr>
          <w:p>
            <w:pPr>
              <w:spacing w:after="20"/>
            </w:pPr>
            <w:r>
              <w:rPr>
                <w:sz w:val="16"/>
              </w:rPr>
              <w:t>Datasets, tables, columns, documents, owners, tags, lineage</w:t>
            </w:r>
          </w:p>
        </w:tc>
      </w:tr>
      <w:tr>
        <w:trPr>
          <w:cantSplit/>
        </w:trPr>
        <w:tc>
          <w:tcPr>
            <w:tcW w:type="dxa" w:w="1800"/>
            <w:vAlign w:val="top"/>
          </w:tcPr>
          <w:p>
            <w:pPr>
              <w:spacing w:after="20"/>
            </w:pPr>
            <w:r>
              <w:rPr>
                <w:sz w:val="16"/>
              </w:rPr>
              <w:t>L2 - Entity graph</w:t>
            </w:r>
          </w:p>
        </w:tc>
        <w:tc>
          <w:tcPr>
            <w:tcW w:type="dxa" w:w="3024"/>
            <w:vAlign w:val="top"/>
          </w:tcPr>
          <w:p>
            <w:pPr>
              <w:spacing w:after="20"/>
            </w:pPr>
            <w:r>
              <w:rPr>
                <w:sz w:val="16"/>
              </w:rPr>
              <w:t>Identify and canonicalize business/technical entities</w:t>
            </w:r>
          </w:p>
        </w:tc>
        <w:tc>
          <w:tcPr>
            <w:tcW w:type="dxa" w:w="5472"/>
            <w:vAlign w:val="top"/>
          </w:tcPr>
          <w:p>
            <w:pPr>
              <w:spacing w:after="20"/>
            </w:pPr>
            <w:r>
              <w:rPr>
                <w:sz w:val="16"/>
              </w:rPr>
              <w:t>Entity types, canonical IDs, aliases, attributes, mentions</w:t>
            </w:r>
          </w:p>
        </w:tc>
      </w:tr>
      <w:tr>
        <w:trPr>
          <w:cantSplit/>
        </w:trPr>
        <w:tc>
          <w:tcPr>
            <w:tcW w:type="dxa" w:w="1800"/>
            <w:vAlign w:val="top"/>
            <w:shd w:fill="FAFAFB"/>
          </w:tcPr>
          <w:p>
            <w:pPr>
              <w:spacing w:after="20"/>
            </w:pPr>
            <w:r>
              <w:rPr>
                <w:sz w:val="16"/>
              </w:rPr>
              <w:t>L3 - Relationship graph</w:t>
            </w:r>
          </w:p>
        </w:tc>
        <w:tc>
          <w:tcPr>
            <w:tcW w:type="dxa" w:w="3024"/>
            <w:vAlign w:val="top"/>
            <w:shd w:fill="FAFAFB"/>
          </w:tcPr>
          <w:p>
            <w:pPr>
              <w:spacing w:after="20"/>
            </w:pPr>
            <w:r>
              <w:rPr>
                <w:sz w:val="16"/>
              </w:rPr>
              <w:t>Connect entities</w:t>
            </w:r>
          </w:p>
        </w:tc>
        <w:tc>
          <w:tcPr>
            <w:tcW w:type="dxa" w:w="5472"/>
            <w:vAlign w:val="top"/>
            <w:shd w:fill="FAFAFB"/>
          </w:tcPr>
          <w:p>
            <w:pPr>
              <w:spacing w:after="20"/>
            </w:pPr>
            <w:r>
              <w:rPr>
                <w:sz w:val="16"/>
              </w:rPr>
              <w:t>Explicit/inferred edges, relationship properties, confidence, evidence</w:t>
            </w:r>
          </w:p>
        </w:tc>
      </w:tr>
      <w:tr>
        <w:trPr>
          <w:cantSplit/>
        </w:trPr>
        <w:tc>
          <w:tcPr>
            <w:tcW w:type="dxa" w:w="1800"/>
            <w:vAlign w:val="top"/>
          </w:tcPr>
          <w:p>
            <w:pPr>
              <w:spacing w:after="20"/>
            </w:pPr>
            <w:r>
              <w:rPr>
                <w:sz w:val="16"/>
              </w:rPr>
              <w:t>L4 - Semantic/domain graph</w:t>
            </w:r>
          </w:p>
        </w:tc>
        <w:tc>
          <w:tcPr>
            <w:tcW w:type="dxa" w:w="3024"/>
            <w:vAlign w:val="top"/>
          </w:tcPr>
          <w:p>
            <w:pPr>
              <w:spacing w:after="20"/>
            </w:pPr>
            <w:r>
              <w:rPr>
                <w:sz w:val="16"/>
              </w:rPr>
              <w:t>Represent enterprise meaning</w:t>
            </w:r>
          </w:p>
        </w:tc>
        <w:tc>
          <w:tcPr>
            <w:tcW w:type="dxa" w:w="5472"/>
            <w:vAlign w:val="top"/>
          </w:tcPr>
          <w:p>
            <w:pPr>
              <w:spacing w:after="20"/>
            </w:pPr>
            <w:r>
              <w:rPr>
                <w:sz w:val="16"/>
              </w:rPr>
              <w:t>Glossary terms, concepts, taxonomy, ontology mappings, semantic types</w:t>
            </w:r>
          </w:p>
        </w:tc>
      </w:tr>
      <w:tr>
        <w:trPr>
          <w:cantSplit/>
        </w:trPr>
        <w:tc>
          <w:tcPr>
            <w:tcW w:type="dxa" w:w="1800"/>
            <w:vAlign w:val="top"/>
            <w:shd w:fill="FAFAFB"/>
          </w:tcPr>
          <w:p>
            <w:pPr>
              <w:spacing w:after="20"/>
            </w:pPr>
            <w:r>
              <w:rPr>
                <w:sz w:val="16"/>
              </w:rPr>
              <w:t>L5 - Contextual knowledge</w:t>
            </w:r>
          </w:p>
        </w:tc>
        <w:tc>
          <w:tcPr>
            <w:tcW w:type="dxa" w:w="3024"/>
            <w:vAlign w:val="top"/>
            <w:shd w:fill="FAFAFB"/>
          </w:tcPr>
          <w:p>
            <w:pPr>
              <w:spacing w:after="20"/>
            </w:pPr>
            <w:r>
              <w:rPr>
                <w:sz w:val="16"/>
              </w:rPr>
              <w:t>Represent facts and business context</w:t>
            </w:r>
          </w:p>
        </w:tc>
        <w:tc>
          <w:tcPr>
            <w:tcW w:type="dxa" w:w="5472"/>
            <w:vAlign w:val="top"/>
            <w:shd w:fill="FAFAFB"/>
          </w:tcPr>
          <w:p>
            <w:pPr>
              <w:spacing w:after="20"/>
            </w:pPr>
            <w:r>
              <w:rPr>
                <w:sz w:val="16"/>
              </w:rPr>
              <w:t>Claims, facts, events, temporal context, business rules, evidence</w:t>
            </w:r>
          </w:p>
        </w:tc>
      </w:tr>
      <w:tr>
        <w:trPr>
          <w:cantSplit/>
        </w:trPr>
        <w:tc>
          <w:tcPr>
            <w:tcW w:type="dxa" w:w="1800"/>
            <w:vAlign w:val="top"/>
          </w:tcPr>
          <w:p>
            <w:pPr>
              <w:spacing w:after="20"/>
            </w:pPr>
            <w:r>
              <w:rPr>
                <w:sz w:val="16"/>
              </w:rPr>
              <w:t>L6 - Consumption assets</w:t>
            </w:r>
          </w:p>
        </w:tc>
        <w:tc>
          <w:tcPr>
            <w:tcW w:type="dxa" w:w="3024"/>
            <w:vAlign w:val="top"/>
          </w:tcPr>
          <w:p>
            <w:pPr>
              <w:spacing w:after="20"/>
            </w:pPr>
            <w:r>
              <w:rPr>
                <w:sz w:val="16"/>
              </w:rPr>
              <w:t>Prepare graph for downstream use</w:t>
            </w:r>
          </w:p>
        </w:tc>
        <w:tc>
          <w:tcPr>
            <w:tcW w:type="dxa" w:w="5472"/>
            <w:vAlign w:val="top"/>
          </w:tcPr>
          <w:p>
            <w:pPr>
              <w:spacing w:after="20"/>
            </w:pPr>
            <w:r>
              <w:rPr>
                <w:sz w:val="16"/>
              </w:rPr>
              <w:t>Domain views, retrieval paths, context packages, graph projections, publication manifest</w:t>
            </w:r>
          </w:p>
        </w:tc>
      </w:tr>
    </w:tbl>
    <w:p>
      <w:pPr>
        <w:spacing w:after="40"/>
      </w:pPr>
    </w:p>
    <w:p>
      <w:pPr>
        <w:pStyle w:val="Heading1"/>
      </w:pPr>
      <w:r>
        <w:t>3. Agent input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  <w:tblHeader w:val="true"/>
        </w:trPr>
        <w:tc>
          <w:tcPr>
            <w:tcW w:type="dxa" w:w="2160"/>
            <w:shd w:fill="2E3238"/>
            <w:vAlign w:val="center"/>
          </w:tcPr>
          <w:p>
            <w:r>
              <w:rPr>
                <w:b/>
                <w:color w:val="FFFFFF"/>
                <w:sz w:val="17"/>
              </w:rPr>
              <w:t>Input group</w:t>
            </w:r>
          </w:p>
        </w:tc>
        <w:tc>
          <w:tcPr>
            <w:tcW w:type="dxa" w:w="1152"/>
            <w:shd w:fill="2E3238"/>
            <w:vAlign w:val="center"/>
          </w:tcPr>
          <w:p>
            <w:r>
              <w:rPr>
                <w:b/>
                <w:color w:val="FFFFFF"/>
                <w:sz w:val="17"/>
              </w:rPr>
              <w:t>Required?</w:t>
            </w:r>
          </w:p>
        </w:tc>
        <w:tc>
          <w:tcPr>
            <w:tcW w:type="dxa" w:w="6912"/>
            <w:shd w:fill="2E3238"/>
            <w:vAlign w:val="center"/>
          </w:tcPr>
          <w:p>
            <w:r>
              <w:rPr>
                <w:b/>
                <w:color w:val="FFFFFF"/>
                <w:sz w:val="17"/>
              </w:rPr>
              <w:t>What can be supplied</w:t>
            </w:r>
          </w:p>
        </w:tc>
      </w:tr>
      <w:tr>
        <w:trPr>
          <w:cantSplit/>
        </w:trPr>
        <w:tc>
          <w:tcPr>
            <w:tcW w:type="dxa" w:w="2160"/>
            <w:vAlign w:val="top"/>
          </w:tcPr>
          <w:p>
            <w:pPr>
              <w:spacing w:after="20"/>
            </w:pPr>
            <w:r>
              <w:rPr>
                <w:sz w:val="16"/>
              </w:rPr>
              <w:t>Knowledge objective</w:t>
            </w:r>
          </w:p>
        </w:tc>
        <w:tc>
          <w:tcPr>
            <w:tcW w:type="dxa" w:w="1152"/>
            <w:vAlign w:val="top"/>
          </w:tcPr>
          <w:p>
            <w:pPr>
              <w:spacing w:after="20"/>
            </w:pPr>
            <w:r>
              <w:rPr>
                <w:sz w:val="16"/>
              </w:rPr>
              <w:t>Yes</w:t>
            </w:r>
          </w:p>
        </w:tc>
        <w:tc>
          <w:tcPr>
            <w:tcW w:type="dxa" w:w="6912"/>
            <w:vAlign w:val="top"/>
          </w:tcPr>
          <w:p>
            <w:pPr>
              <w:spacing w:after="20"/>
            </w:pPr>
            <w:r>
              <w:rPr>
                <w:sz w:val="16"/>
              </w:rPr>
              <w:t>Business/domain objective, intended graph purpose, priority concepts or questions</w:t>
            </w:r>
          </w:p>
        </w:tc>
      </w:tr>
      <w:tr>
        <w:trPr>
          <w:cantSplit/>
        </w:trPr>
        <w:tc>
          <w:tcPr>
            <w:tcW w:type="dxa" w:w="2160"/>
            <w:vAlign w:val="top"/>
            <w:shd w:fill="FAFAFB"/>
          </w:tcPr>
          <w:p>
            <w:pPr>
              <w:spacing w:after="20"/>
            </w:pPr>
            <w:r>
              <w:rPr>
                <w:sz w:val="16"/>
              </w:rPr>
              <w:t>Source scope</w:t>
            </w:r>
          </w:p>
        </w:tc>
        <w:tc>
          <w:tcPr>
            <w:tcW w:type="dxa" w:w="1152"/>
            <w:vAlign w:val="top"/>
            <w:shd w:fill="FAFAFB"/>
          </w:tcPr>
          <w:p>
            <w:pPr>
              <w:spacing w:after="20"/>
            </w:pPr>
            <w:r>
              <w:rPr>
                <w:sz w:val="16"/>
              </w:rPr>
              <w:t>Yes</w:t>
            </w:r>
          </w:p>
        </w:tc>
        <w:tc>
          <w:tcPr>
            <w:tcW w:type="dxa" w:w="6912"/>
            <w:vAlign w:val="top"/>
            <w:shd w:fill="FAFAFB"/>
          </w:tcPr>
          <w:p>
            <w:pPr>
              <w:spacing w:after="20"/>
            </w:pPr>
            <w:r>
              <w:rPr>
                <w:sz w:val="16"/>
              </w:rPr>
              <w:t>Structured, unstructured or hybrid source selection</w:t>
            </w:r>
          </w:p>
        </w:tc>
      </w:tr>
      <w:tr>
        <w:trPr>
          <w:cantSplit/>
        </w:trPr>
        <w:tc>
          <w:tcPr>
            <w:tcW w:type="dxa" w:w="2160"/>
            <w:vAlign w:val="top"/>
          </w:tcPr>
          <w:p>
            <w:pPr>
              <w:spacing w:after="20"/>
            </w:pPr>
            <w:r>
              <w:rPr>
                <w:sz w:val="16"/>
              </w:rPr>
              <w:t>Enterprise context</w:t>
            </w:r>
          </w:p>
        </w:tc>
        <w:tc>
          <w:tcPr>
            <w:tcW w:type="dxa" w:w="1152"/>
            <w:vAlign w:val="top"/>
          </w:tcPr>
          <w:p>
            <w:pPr>
              <w:spacing w:after="20"/>
            </w:pPr>
            <w:r>
              <w:rPr>
                <w:sz w:val="16"/>
              </w:rPr>
              <w:t>Optional but recommended</w:t>
            </w:r>
          </w:p>
        </w:tc>
        <w:tc>
          <w:tcPr>
            <w:tcW w:type="dxa" w:w="6912"/>
            <w:vAlign w:val="top"/>
          </w:tcPr>
          <w:p>
            <w:pPr>
              <w:spacing w:after="20"/>
            </w:pPr>
            <w:r>
              <w:rPr>
                <w:sz w:val="16"/>
              </w:rPr>
              <w:t>Glossary, taxonomy, ontology, data model, catalog exports, existing graph</w:t>
            </w:r>
          </w:p>
        </w:tc>
      </w:tr>
      <w:tr>
        <w:trPr>
          <w:cantSplit/>
        </w:trPr>
        <w:tc>
          <w:tcPr>
            <w:tcW w:type="dxa" w:w="2160"/>
            <w:vAlign w:val="top"/>
            <w:shd w:fill="FAFAFB"/>
          </w:tcPr>
          <w:p>
            <w:pPr>
              <w:spacing w:after="20"/>
            </w:pPr>
            <w:r>
              <w:rPr>
                <w:sz w:val="16"/>
              </w:rPr>
              <w:t>Operating policy</w:t>
            </w:r>
          </w:p>
        </w:tc>
        <w:tc>
          <w:tcPr>
            <w:tcW w:type="dxa" w:w="1152"/>
            <w:vAlign w:val="top"/>
            <w:shd w:fill="FAFAFB"/>
          </w:tcPr>
          <w:p>
            <w:pPr>
              <w:spacing w:after="20"/>
            </w:pPr>
            <w:r>
              <w:rPr>
                <w:sz w:val="16"/>
              </w:rPr>
              <w:t>Yes</w:t>
            </w:r>
          </w:p>
        </w:tc>
        <w:tc>
          <w:tcPr>
            <w:tcW w:type="dxa" w:w="6912"/>
            <w:vAlign w:val="top"/>
            <w:shd w:fill="FAFAFB"/>
          </w:tcPr>
          <w:p>
            <w:pPr>
              <w:spacing w:after="20"/>
            </w:pPr>
            <w:r>
              <w:rPr>
                <w:sz w:val="16"/>
              </w:rPr>
              <w:t>Autonomy level, allowed tools/actions, HITL gates, publication permissions</w:t>
            </w:r>
          </w:p>
        </w:tc>
      </w:tr>
      <w:tr>
        <w:trPr>
          <w:cantSplit/>
        </w:trPr>
        <w:tc>
          <w:tcPr>
            <w:tcW w:type="dxa" w:w="2160"/>
            <w:vAlign w:val="top"/>
          </w:tcPr>
          <w:p>
            <w:pPr>
              <w:spacing w:after="20"/>
            </w:pPr>
            <w:r>
              <w:rPr>
                <w:sz w:val="16"/>
              </w:rPr>
              <w:t>Quality policy</w:t>
            </w:r>
          </w:p>
        </w:tc>
        <w:tc>
          <w:tcPr>
            <w:tcW w:type="dxa" w:w="1152"/>
            <w:vAlign w:val="top"/>
          </w:tcPr>
          <w:p>
            <w:pPr>
              <w:spacing w:after="20"/>
            </w:pPr>
            <w:r>
              <w:rPr>
                <w:sz w:val="16"/>
              </w:rPr>
              <w:t>Yes</w:t>
            </w:r>
          </w:p>
        </w:tc>
        <w:tc>
          <w:tcPr>
            <w:tcW w:type="dxa" w:w="6912"/>
            <w:vAlign w:val="top"/>
          </w:tcPr>
          <w:p>
            <w:pPr>
              <w:spacing w:after="20"/>
            </w:pPr>
            <w:r>
              <w:rPr>
                <w:sz w:val="16"/>
              </w:rPr>
              <w:t>Confidence thresholds, validation rules, merge/review thresholds, provenance requirements</w:t>
            </w:r>
          </w:p>
        </w:tc>
      </w:tr>
    </w:tbl>
    <w:p>
      <w:pPr>
        <w:spacing w:after="40"/>
      </w:pPr>
    </w:p>
    <w:p>
      <w:pPr>
        <w:pStyle w:val="Heading1"/>
      </w:pPr>
      <w:r>
        <w:t>4. MVP scope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  <w:tblHeader w:val="true"/>
        </w:trPr>
        <w:tc>
          <w:tcPr>
            <w:tcW w:type="dxa" w:w="2160"/>
            <w:shd w:fill="2E3238"/>
            <w:vAlign w:val="center"/>
          </w:tcPr>
          <w:p>
            <w:r>
              <w:rPr>
                <w:b/>
                <w:color w:val="FFFFFF"/>
                <w:sz w:val="17"/>
              </w:rPr>
              <w:t>Area</w:t>
            </w:r>
          </w:p>
        </w:tc>
        <w:tc>
          <w:tcPr>
            <w:tcW w:type="dxa" w:w="8352"/>
            <w:shd w:fill="2E3238"/>
            <w:vAlign w:val="center"/>
          </w:tcPr>
          <w:p>
            <w:r>
              <w:rPr>
                <w:b/>
                <w:color w:val="FFFFFF"/>
                <w:sz w:val="17"/>
              </w:rPr>
              <w:t>MVP approach</w:t>
            </w:r>
          </w:p>
        </w:tc>
      </w:tr>
      <w:tr>
        <w:trPr>
          <w:cantSplit/>
        </w:trPr>
        <w:tc>
          <w:tcPr>
            <w:tcW w:type="dxa" w:w="2160"/>
            <w:vAlign w:val="top"/>
          </w:tcPr>
          <w:p>
            <w:pPr>
              <w:spacing w:after="20"/>
            </w:pPr>
            <w:r>
              <w:rPr>
                <w:sz w:val="16"/>
              </w:rPr>
              <w:t>Structured data</w:t>
            </w:r>
          </w:p>
        </w:tc>
        <w:tc>
          <w:tcPr>
            <w:tcW w:type="dxa" w:w="8352"/>
            <w:vAlign w:val="top"/>
          </w:tcPr>
          <w:p>
            <w:pPr>
              <w:spacing w:after="20"/>
            </w:pPr>
            <w:r>
              <w:rPr>
                <w:sz w:val="16"/>
              </w:rPr>
              <w:t>Connect to 1-3 prioritized databases/lakehouse/catalog endpoints. Metadata-first ingestion with controlled profiling/sample access.</w:t>
            </w:r>
          </w:p>
        </w:tc>
      </w:tr>
      <w:tr>
        <w:trPr>
          <w:cantSplit/>
        </w:trPr>
        <w:tc>
          <w:tcPr>
            <w:tcW w:type="dxa" w:w="2160"/>
            <w:vAlign w:val="top"/>
            <w:shd w:fill="FAFAFB"/>
          </w:tcPr>
          <w:p>
            <w:pPr>
              <w:spacing w:after="20"/>
            </w:pPr>
            <w:r>
              <w:rPr>
                <w:sz w:val="16"/>
              </w:rPr>
              <w:t>Unstructured data</w:t>
            </w:r>
          </w:p>
        </w:tc>
        <w:tc>
          <w:tcPr>
            <w:tcW w:type="dxa" w:w="8352"/>
            <w:vAlign w:val="top"/>
            <w:shd w:fill="FAFAFB"/>
          </w:tcPr>
          <w:p>
            <w:pPr>
              <w:spacing w:after="20"/>
            </w:pPr>
            <w:r>
              <w:rPr>
                <w:sz w:val="16"/>
              </w:rPr>
              <w:t>Connect to one or two enterprise repositories/object stores plus direct upload for exceptions.</w:t>
            </w:r>
          </w:p>
        </w:tc>
      </w:tr>
      <w:tr>
        <w:trPr>
          <w:cantSplit/>
        </w:trPr>
        <w:tc>
          <w:tcPr>
            <w:tcW w:type="dxa" w:w="2160"/>
            <w:vAlign w:val="top"/>
          </w:tcPr>
          <w:p>
            <w:pPr>
              <w:spacing w:after="20"/>
            </w:pPr>
            <w:r>
              <w:rPr>
                <w:sz w:val="16"/>
              </w:rPr>
              <w:t>Hybrid knowledge</w:t>
            </w:r>
          </w:p>
        </w:tc>
        <w:tc>
          <w:tcPr>
            <w:tcW w:type="dxa" w:w="8352"/>
            <w:vAlign w:val="top"/>
          </w:tcPr>
          <w:p>
            <w:pPr>
              <w:spacing w:after="20"/>
            </w:pPr>
            <w:r>
              <w:rPr>
                <w:sz w:val="16"/>
              </w:rPr>
              <w:t>Cross-source entity resolution and semantic alignment across structured and unstructured data.</w:t>
            </w:r>
          </w:p>
        </w:tc>
      </w:tr>
      <w:tr>
        <w:trPr>
          <w:cantSplit/>
        </w:trPr>
        <w:tc>
          <w:tcPr>
            <w:tcW w:type="dxa" w:w="2160"/>
            <w:vAlign w:val="top"/>
            <w:shd w:fill="FAFAFB"/>
          </w:tcPr>
          <w:p>
            <w:pPr>
              <w:spacing w:after="20"/>
            </w:pPr>
            <w:r>
              <w:rPr>
                <w:sz w:val="16"/>
              </w:rPr>
              <w:t>Graph context</w:t>
            </w:r>
          </w:p>
        </w:tc>
        <w:tc>
          <w:tcPr>
            <w:tcW w:type="dxa" w:w="8352"/>
            <w:vAlign w:val="top"/>
            <w:shd w:fill="FAFAFB"/>
          </w:tcPr>
          <w:p>
            <w:pPr>
              <w:spacing w:after="20"/>
            </w:pPr>
            <w:r>
              <w:rPr>
                <w:sz w:val="16"/>
              </w:rPr>
              <w:t>Integrate with an existing ontology/taxonomy/glossary where available; support controlled ontology extension.</w:t>
            </w:r>
          </w:p>
        </w:tc>
      </w:tr>
      <w:tr>
        <w:trPr>
          <w:cantSplit/>
        </w:trPr>
        <w:tc>
          <w:tcPr>
            <w:tcW w:type="dxa" w:w="2160"/>
            <w:vAlign w:val="top"/>
          </w:tcPr>
          <w:p>
            <w:pPr>
              <w:spacing w:after="20"/>
            </w:pPr>
            <w:r>
              <w:rPr>
                <w:sz w:val="16"/>
              </w:rPr>
              <w:t>Graph publication</w:t>
            </w:r>
          </w:p>
        </w:tc>
        <w:tc>
          <w:tcPr>
            <w:tcW w:type="dxa" w:w="8352"/>
            <w:vAlign w:val="top"/>
          </w:tcPr>
          <w:p>
            <w:pPr>
              <w:spacing w:after="20"/>
            </w:pPr>
            <w:r>
              <w:rPr>
                <w:sz w:val="16"/>
              </w:rPr>
              <w:t>Publish approved assets to a selected graph platform and retain versioned intermediate knowledge assets.</w:t>
            </w:r>
          </w:p>
        </w:tc>
      </w:tr>
      <w:tr>
        <w:trPr>
          <w:cantSplit/>
        </w:trPr>
        <w:tc>
          <w:tcPr>
            <w:tcW w:type="dxa" w:w="2160"/>
            <w:vAlign w:val="top"/>
            <w:shd w:fill="FAFAFB"/>
          </w:tcPr>
          <w:p>
            <w:pPr>
              <w:spacing w:after="20"/>
            </w:pPr>
            <w:r>
              <w:rPr>
                <w:sz w:val="16"/>
              </w:rPr>
              <w:t>Operations</w:t>
            </w:r>
          </w:p>
        </w:tc>
        <w:tc>
          <w:tcPr>
            <w:tcW w:type="dxa" w:w="8352"/>
            <w:vAlign w:val="top"/>
            <w:shd w:fill="FAFAFB"/>
          </w:tcPr>
          <w:p>
            <w:pPr>
              <w:spacing w:after="20"/>
            </w:pPr>
            <w:r>
              <w:rPr>
                <w:sz w:val="16"/>
              </w:rPr>
              <w:t>Scheduled/on-demand runs, retries, observability, role-based access and basic production support.</w:t>
            </w:r>
          </w:p>
        </w:tc>
      </w:tr>
    </w:tbl>
    <w:p>
      <w:pPr>
        <w:spacing w:after="40"/>
      </w:pPr>
    </w:p>
    <w:p>
      <w:pPr>
        <w:pStyle w:val="Heading1"/>
      </w:pPr>
      <w:r>
        <w:t>5. MVP operating model</w:t>
      </w:r>
    </w:p>
    <w:p>
      <w:pPr>
        <w:pStyle w:val="ListBullet"/>
        <w:spacing w:after="40"/>
      </w:pPr>
      <w:r>
        <w:t>Assisted-autonomous execution is the default: high-confidence actions proceed automatically; ambiguous or policy-sensitive actions enter review.</w:t>
      </w:r>
    </w:p>
    <w:p>
      <w:pPr>
        <w:pStyle w:val="ListBullet"/>
        <w:spacing w:after="40"/>
      </w:pPr>
      <w:r>
        <w:t>Source-specific execution plans are generated dynamically rather than hard-coded as one pipeline.</w:t>
      </w:r>
    </w:p>
    <w:p>
      <w:pPr>
        <w:pStyle w:val="ListBullet"/>
        <w:spacing w:after="40"/>
      </w:pPr>
      <w:r>
        <w:t>A versioned Knowledge Asset Store separates extraction/semantic engineering from physical graph publication.</w:t>
      </w:r>
    </w:p>
    <w:p>
      <w:pPr>
        <w:pStyle w:val="ListBullet"/>
        <w:spacing w:after="40"/>
      </w:pPr>
      <w:r>
        <w:t>Changes to ontology classes, critical entity merges and production publication can be protected by approval gates.</w:t>
      </w:r>
    </w:p>
    <w:p>
      <w:pPr>
        <w:pStyle w:val="ListBullet"/>
        <w:spacing w:after="40"/>
      </w:pPr>
      <w:r>
        <w:t>Feedback from reviewers is persisted and reused for future mappings/extractions.</w:t>
      </w:r>
    </w:p>
    <w:p>
      <w:pPr>
        <w:pStyle w:val="Heading1"/>
      </w:pPr>
      <w:r>
        <w:t>6. MVP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  <w:tblHeader w:val="true"/>
        </w:trPr>
        <w:tc>
          <w:tcPr>
            <w:tcW w:type="dxa" w:w="2304"/>
            <w:shd w:fill="2E3238"/>
            <w:vAlign w:val="center"/>
          </w:tcPr>
          <w:p>
            <w:r>
              <w:rPr>
                <w:b/>
                <w:color w:val="FFFFFF"/>
                <w:sz w:val="17"/>
              </w:rPr>
              <w:t>Layer</w:t>
            </w:r>
          </w:p>
        </w:tc>
        <w:tc>
          <w:tcPr>
            <w:tcW w:type="dxa" w:w="8208"/>
            <w:shd w:fill="2E3238"/>
            <w:vAlign w:val="center"/>
          </w:tcPr>
          <w:p>
            <w:r>
              <w:rPr>
                <w:b/>
                <w:color w:val="FFFFFF"/>
                <w:sz w:val="17"/>
              </w:rPr>
              <w:t>MVP components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20"/>
            </w:pPr>
            <w:r>
              <w:rPr>
                <w:sz w:val="16"/>
              </w:rPr>
              <w:t>Experience/API</w:t>
            </w:r>
          </w:p>
        </w:tc>
        <w:tc>
          <w:tcPr>
            <w:tcW w:type="dxa" w:w="8208"/>
            <w:vAlign w:val="top"/>
          </w:tcPr>
          <w:p>
            <w:pPr>
              <w:spacing w:after="20"/>
            </w:pPr>
            <w:r>
              <w:rPr>
                <w:sz w:val="16"/>
              </w:rPr>
              <w:t>Project setup, source configuration, review workbench, graph asset explorer, REST/API endpoints</w:t>
            </w:r>
          </w:p>
        </w:tc>
      </w:tr>
      <w:tr>
        <w:trPr>
          <w:cantSplit/>
        </w:trPr>
        <w:tc>
          <w:tcPr>
            <w:tcW w:type="dxa" w:w="2304"/>
            <w:vAlign w:val="top"/>
            <w:shd w:fill="FAFAFB"/>
          </w:tcPr>
          <w:p>
            <w:pPr>
              <w:spacing w:after="20"/>
            </w:pPr>
            <w:r>
              <w:rPr>
                <w:sz w:val="16"/>
              </w:rPr>
              <w:t>Supervisor</w:t>
            </w:r>
          </w:p>
        </w:tc>
        <w:tc>
          <w:tcPr>
            <w:tcW w:type="dxa" w:w="8208"/>
            <w:vAlign w:val="top"/>
            <w:shd w:fill="FAFAFB"/>
          </w:tcPr>
          <w:p>
            <w:pPr>
              <w:spacing w:after="20"/>
            </w:pPr>
            <w:r>
              <w:rPr>
                <w:sz w:val="16"/>
              </w:rPr>
              <w:t>Planner, task router, state/memory, policy evaluator, retry/re-plan loop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20"/>
            </w:pPr>
            <w:r>
              <w:rPr>
                <w:sz w:val="16"/>
              </w:rPr>
              <w:t>Structured tools</w:t>
            </w:r>
          </w:p>
        </w:tc>
        <w:tc>
          <w:tcPr>
            <w:tcW w:type="dxa" w:w="8208"/>
            <w:vAlign w:val="top"/>
          </w:tcPr>
          <w:p>
            <w:pPr>
              <w:spacing w:after="20"/>
            </w:pPr>
            <w:r>
              <w:rPr>
                <w:sz w:val="16"/>
              </w:rPr>
              <w:t>Metadata connector, schema profiler, PK/FK discovery, catalog/lineage lookup, semantic mapper</w:t>
            </w:r>
          </w:p>
        </w:tc>
      </w:tr>
      <w:tr>
        <w:trPr>
          <w:cantSplit/>
        </w:trPr>
        <w:tc>
          <w:tcPr>
            <w:tcW w:type="dxa" w:w="2304"/>
            <w:vAlign w:val="top"/>
            <w:shd w:fill="FAFAFB"/>
          </w:tcPr>
          <w:p>
            <w:pPr>
              <w:spacing w:after="20"/>
            </w:pPr>
            <w:r>
              <w:rPr>
                <w:sz w:val="16"/>
              </w:rPr>
              <w:t>Unstructured tools</w:t>
            </w:r>
          </w:p>
        </w:tc>
        <w:tc>
          <w:tcPr>
            <w:tcW w:type="dxa" w:w="8208"/>
            <w:vAlign w:val="top"/>
            <w:shd w:fill="FAFAFB"/>
          </w:tcPr>
          <w:p>
            <w:pPr>
              <w:spacing w:after="20"/>
            </w:pPr>
            <w:r>
              <w:rPr>
                <w:sz w:val="16"/>
              </w:rPr>
              <w:t>Parser/OCR, layout/table extraction, chunking, entity/relation/fact/event extraction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20"/>
            </w:pPr>
            <w:r>
              <w:rPr>
                <w:sz w:val="16"/>
              </w:rPr>
              <w:t>Knowledge tools</w:t>
            </w:r>
          </w:p>
        </w:tc>
        <w:tc>
          <w:tcPr>
            <w:tcW w:type="dxa" w:w="8208"/>
            <w:vAlign w:val="top"/>
          </w:tcPr>
          <w:p>
            <w:pPr>
              <w:spacing w:after="20"/>
            </w:pPr>
            <w:r>
              <w:rPr>
                <w:sz w:val="16"/>
              </w:rPr>
              <w:t>Entity resolution, ontology mapper, taxonomy lookup, graph schema validator, contradiction detection</w:t>
            </w:r>
          </w:p>
        </w:tc>
      </w:tr>
      <w:tr>
        <w:trPr>
          <w:cantSplit/>
        </w:trPr>
        <w:tc>
          <w:tcPr>
            <w:tcW w:type="dxa" w:w="2304"/>
            <w:vAlign w:val="top"/>
            <w:shd w:fill="FAFAFB"/>
          </w:tcPr>
          <w:p>
            <w:pPr>
              <w:spacing w:after="20"/>
            </w:pPr>
            <w:r>
              <w:rPr>
                <w:sz w:val="16"/>
              </w:rPr>
              <w:t>Asset store</w:t>
            </w:r>
          </w:p>
        </w:tc>
        <w:tc>
          <w:tcPr>
            <w:tcW w:type="dxa" w:w="8208"/>
            <w:vAlign w:val="top"/>
            <w:shd w:fill="FAFAFB"/>
          </w:tcPr>
          <w:p>
            <w:pPr>
              <w:spacing w:after="20"/>
            </w:pPr>
            <w:r>
              <w:rPr>
                <w:sz w:val="16"/>
              </w:rPr>
              <w:t>Versioned source/evidence, entities, relationships, facts, mappings, confidence and review decisions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20"/>
            </w:pPr>
            <w:r>
              <w:rPr>
                <w:sz w:val="16"/>
              </w:rPr>
              <w:t>Graph serving</w:t>
            </w:r>
          </w:p>
        </w:tc>
        <w:tc>
          <w:tcPr>
            <w:tcW w:type="dxa" w:w="8208"/>
            <w:vAlign w:val="top"/>
          </w:tcPr>
          <w:p>
            <w:pPr>
              <w:spacing w:after="20"/>
            </w:pPr>
            <w:r>
              <w:rPr>
                <w:sz w:val="16"/>
              </w:rPr>
              <w:t>Graph database adapter, publish service, graph validation, incremental update support</w:t>
            </w:r>
          </w:p>
        </w:tc>
      </w:tr>
      <w:tr>
        <w:trPr>
          <w:cantSplit/>
        </w:trPr>
        <w:tc>
          <w:tcPr>
            <w:tcW w:type="dxa" w:w="2304"/>
            <w:vAlign w:val="top"/>
            <w:shd w:fill="FAFAFB"/>
          </w:tcPr>
          <w:p>
            <w:pPr>
              <w:spacing w:after="20"/>
            </w:pPr>
            <w:r>
              <w:rPr>
                <w:sz w:val="16"/>
              </w:rPr>
              <w:t>Operations</w:t>
            </w:r>
          </w:p>
        </w:tc>
        <w:tc>
          <w:tcPr>
            <w:tcW w:type="dxa" w:w="8208"/>
            <w:vAlign w:val="top"/>
            <w:shd w:fill="FAFAFB"/>
          </w:tcPr>
          <w:p>
            <w:pPr>
              <w:spacing w:after="20"/>
            </w:pPr>
            <w:r>
              <w:rPr>
                <w:sz w:val="16"/>
              </w:rPr>
              <w:t>Logs, traces, run history, cost/usage metrics, basic alerting and secrets management</w:t>
            </w:r>
          </w:p>
        </w:tc>
      </w:tr>
    </w:tbl>
    <w:p>
      <w:pPr>
        <w:spacing w:after="40"/>
      </w:pPr>
    </w:p>
    <w:p>
      <w:pPr>
        <w:pStyle w:val="Heading1"/>
      </w:pPr>
      <w:r>
        <w:t>7. Indicative MVP scale envelope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  <w:tblHeader w:val="true"/>
        </w:trPr>
        <w:tc>
          <w:tcPr>
            <w:tcW w:type="dxa" w:w="10224"/>
            <w:shd w:fill="FFF6EF"/>
            <w:tcBorders>
              <w:top w:val="single" w:sz="4" w:color="F1D6C3"/>
              <w:left w:val="single" w:sz="18" w:color="F47C20"/>
              <w:bottom w:val="single" w:sz="4" w:color="F1D6C3"/>
              <w:right w:val="single" w:sz="4" w:color="F1D6C3"/>
            </w:tcBorders>
          </w:tcPr>
          <w:p>
            <w:r>
              <w:rPr>
                <w:b/>
                <w:color w:val="F47C20"/>
              </w:rPr>
              <w:t>Scale interpretation</w:t>
              <w:br/>
            </w:r>
            <w:r>
              <w:rPr>
                <w:color w:val="2E3238"/>
              </w:rPr>
              <w:t>These targets represent a practical domain-scale MVP. They should be load-tested and adjusted for the chosen cloud, graph engine, LLMs, parsers and latency/cost objectives.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  <w:tblHeader w:val="true"/>
        </w:trPr>
        <w:tc>
          <w:tcPr>
            <w:tcW w:type="dxa" w:w="2376"/>
            <w:shd w:fill="2E3238"/>
            <w:vAlign w:val="center"/>
          </w:tcPr>
          <w:p>
            <w:r>
              <w:rPr>
                <w:b/>
                <w:color w:val="FFFFFF"/>
                <w:sz w:val="17"/>
              </w:rPr>
              <w:t>Dimension</w:t>
            </w:r>
          </w:p>
        </w:tc>
        <w:tc>
          <w:tcPr>
            <w:tcW w:type="dxa" w:w="2736"/>
            <w:shd w:fill="2E3238"/>
            <w:vAlign w:val="center"/>
          </w:tcPr>
          <w:p>
            <w:r>
              <w:rPr>
                <w:b/>
                <w:color w:val="FFFFFF"/>
                <w:sz w:val="17"/>
              </w:rPr>
              <w:t>Indicative MVP target</w:t>
            </w:r>
          </w:p>
        </w:tc>
        <w:tc>
          <w:tcPr>
            <w:tcW w:type="dxa" w:w="5400"/>
            <w:shd w:fill="2E3238"/>
            <w:vAlign w:val="center"/>
          </w:tcPr>
          <w:p>
            <w:r>
              <w:rPr>
                <w:b/>
                <w:color w:val="FFFFFF"/>
                <w:sz w:val="17"/>
              </w:rPr>
              <w:t>Notes</w:t>
            </w:r>
          </w:p>
        </w:tc>
      </w:tr>
      <w:tr>
        <w:trPr>
          <w:cantSplit/>
        </w:trPr>
        <w:tc>
          <w:tcPr>
            <w:tcW w:type="dxa" w:w="2376"/>
            <w:vAlign w:val="top"/>
          </w:tcPr>
          <w:p>
            <w:pPr>
              <w:spacing w:after="20"/>
            </w:pPr>
            <w:r>
              <w:rPr>
                <w:sz w:val="16"/>
              </w:rPr>
              <w:t>Structured sources</w:t>
            </w:r>
          </w:p>
        </w:tc>
        <w:tc>
          <w:tcPr>
            <w:tcW w:type="dxa" w:w="2736"/>
            <w:vAlign w:val="top"/>
          </w:tcPr>
          <w:p>
            <w:pPr>
              <w:spacing w:after="20"/>
            </w:pPr>
            <w:r>
              <w:rPr>
                <w:sz w:val="16"/>
              </w:rPr>
              <w:t>1-3 connected systems</w:t>
            </w:r>
          </w:p>
        </w:tc>
        <w:tc>
          <w:tcPr>
            <w:tcW w:type="dxa" w:w="5400"/>
            <w:vAlign w:val="top"/>
          </w:tcPr>
          <w:p>
            <w:pPr>
              <w:spacing w:after="20"/>
            </w:pPr>
            <w:r>
              <w:rPr>
                <w:sz w:val="16"/>
              </w:rPr>
              <w:t>Database/lakehouse/catalog; metadata-first.</w:t>
            </w:r>
          </w:p>
        </w:tc>
      </w:tr>
      <w:tr>
        <w:trPr>
          <w:cantSplit/>
        </w:trPr>
        <w:tc>
          <w:tcPr>
            <w:tcW w:type="dxa" w:w="2376"/>
            <w:vAlign w:val="top"/>
            <w:shd w:fill="FAFAFB"/>
          </w:tcPr>
          <w:p>
            <w:pPr>
              <w:spacing w:after="20"/>
            </w:pPr>
            <w:r>
              <w:rPr>
                <w:sz w:val="16"/>
              </w:rPr>
              <w:t>Tables/views</w:t>
            </w:r>
          </w:p>
        </w:tc>
        <w:tc>
          <w:tcPr>
            <w:tcW w:type="dxa" w:w="2736"/>
            <w:vAlign w:val="top"/>
            <w:shd w:fill="FAFAFB"/>
          </w:tcPr>
          <w:p>
            <w:pPr>
              <w:spacing w:after="20"/>
            </w:pPr>
            <w:r>
              <w:rPr>
                <w:sz w:val="16"/>
              </w:rPr>
              <w:t>~100-1,000</w:t>
            </w:r>
          </w:p>
        </w:tc>
        <w:tc>
          <w:tcPr>
            <w:tcW w:type="dxa" w:w="5400"/>
            <w:vAlign w:val="top"/>
            <w:shd w:fill="FAFAFB"/>
          </w:tcPr>
          <w:p>
            <w:pPr>
              <w:spacing w:after="20"/>
            </w:pPr>
            <w:r>
              <w:rPr>
                <w:sz w:val="16"/>
              </w:rPr>
              <w:t>Across one or a few domains.</w:t>
            </w:r>
          </w:p>
        </w:tc>
      </w:tr>
      <w:tr>
        <w:trPr>
          <w:cantSplit/>
        </w:trPr>
        <w:tc>
          <w:tcPr>
            <w:tcW w:type="dxa" w:w="2376"/>
            <w:vAlign w:val="top"/>
          </w:tcPr>
          <w:p>
            <w:pPr>
              <w:spacing w:after="20"/>
            </w:pPr>
            <w:r>
              <w:rPr>
                <w:sz w:val="16"/>
              </w:rPr>
              <w:t>Columns/attributes</w:t>
            </w:r>
          </w:p>
        </w:tc>
        <w:tc>
          <w:tcPr>
            <w:tcW w:type="dxa" w:w="2736"/>
            <w:vAlign w:val="top"/>
          </w:tcPr>
          <w:p>
            <w:pPr>
              <w:spacing w:after="20"/>
            </w:pPr>
            <w:r>
              <w:rPr>
                <w:sz w:val="16"/>
              </w:rPr>
              <w:t>~2K-25K</w:t>
            </w:r>
          </w:p>
        </w:tc>
        <w:tc>
          <w:tcPr>
            <w:tcW w:type="dxa" w:w="5400"/>
            <w:vAlign w:val="top"/>
          </w:tcPr>
          <w:p>
            <w:pPr>
              <w:spacing w:after="20"/>
            </w:pPr>
            <w:r>
              <w:rPr>
                <w:sz w:val="16"/>
              </w:rPr>
              <w:t>Includes semantic mapping and metadata enrichment.</w:t>
            </w:r>
          </w:p>
        </w:tc>
      </w:tr>
      <w:tr>
        <w:trPr>
          <w:cantSplit/>
        </w:trPr>
        <w:tc>
          <w:tcPr>
            <w:tcW w:type="dxa" w:w="2376"/>
            <w:vAlign w:val="top"/>
            <w:shd w:fill="FAFAFB"/>
          </w:tcPr>
          <w:p>
            <w:pPr>
              <w:spacing w:after="20"/>
            </w:pPr>
            <w:r>
              <w:rPr>
                <w:sz w:val="16"/>
              </w:rPr>
              <w:t>Unstructured corpus</w:t>
            </w:r>
          </w:p>
        </w:tc>
        <w:tc>
          <w:tcPr>
            <w:tcW w:type="dxa" w:w="2736"/>
            <w:vAlign w:val="top"/>
            <w:shd w:fill="FAFAFB"/>
          </w:tcPr>
          <w:p>
            <w:pPr>
              <w:spacing w:after="20"/>
            </w:pPr>
            <w:r>
              <w:rPr>
                <w:sz w:val="16"/>
              </w:rPr>
              <w:t>~5K-100K documents</w:t>
            </w:r>
          </w:p>
        </w:tc>
        <w:tc>
          <w:tcPr>
            <w:tcW w:type="dxa" w:w="5400"/>
            <w:vAlign w:val="top"/>
            <w:shd w:fill="FAFAFB"/>
          </w:tcPr>
          <w:p>
            <w:pPr>
              <w:spacing w:after="20"/>
            </w:pPr>
            <w:r>
              <w:rPr>
                <w:sz w:val="16"/>
              </w:rPr>
              <w:t>Batch ingestion; repository characteristics matter.</w:t>
            </w:r>
          </w:p>
        </w:tc>
      </w:tr>
      <w:tr>
        <w:trPr>
          <w:cantSplit/>
        </w:trPr>
        <w:tc>
          <w:tcPr>
            <w:tcW w:type="dxa" w:w="2376"/>
            <w:vAlign w:val="top"/>
          </w:tcPr>
          <w:p>
            <w:pPr>
              <w:spacing w:after="20"/>
            </w:pPr>
            <w:r>
              <w:rPr>
                <w:sz w:val="16"/>
              </w:rPr>
              <w:t>Pages/content units</w:t>
            </w:r>
          </w:p>
        </w:tc>
        <w:tc>
          <w:tcPr>
            <w:tcW w:type="dxa" w:w="2736"/>
            <w:vAlign w:val="top"/>
          </w:tcPr>
          <w:p>
            <w:pPr>
              <w:spacing w:after="20"/>
            </w:pPr>
            <w:r>
              <w:rPr>
                <w:sz w:val="16"/>
              </w:rPr>
              <w:t>~100K-2M pages/equivalent</w:t>
            </w:r>
          </w:p>
        </w:tc>
        <w:tc>
          <w:tcPr>
            <w:tcW w:type="dxa" w:w="5400"/>
            <w:vAlign w:val="top"/>
          </w:tcPr>
          <w:p>
            <w:pPr>
              <w:spacing w:after="20"/>
            </w:pPr>
            <w:r>
              <w:rPr>
                <w:sz w:val="16"/>
              </w:rPr>
              <w:t>Can be processed incrementally over time.</w:t>
            </w:r>
          </w:p>
        </w:tc>
      </w:tr>
      <w:tr>
        <w:trPr>
          <w:cantSplit/>
        </w:trPr>
        <w:tc>
          <w:tcPr>
            <w:tcW w:type="dxa" w:w="2376"/>
            <w:vAlign w:val="top"/>
            <w:shd w:fill="FAFAFB"/>
          </w:tcPr>
          <w:p>
            <w:pPr>
              <w:spacing w:after="20"/>
            </w:pPr>
            <w:r>
              <w:rPr>
                <w:sz w:val="16"/>
              </w:rPr>
              <w:t>Graph entities</w:t>
            </w:r>
          </w:p>
        </w:tc>
        <w:tc>
          <w:tcPr>
            <w:tcW w:type="dxa" w:w="2736"/>
            <w:vAlign w:val="top"/>
            <w:shd w:fill="FAFAFB"/>
          </w:tcPr>
          <w:p>
            <w:pPr>
              <w:spacing w:after="20"/>
            </w:pPr>
            <w:r>
              <w:rPr>
                <w:sz w:val="16"/>
              </w:rPr>
              <w:t>~100K-5M nodes</w:t>
            </w:r>
          </w:p>
        </w:tc>
        <w:tc>
          <w:tcPr>
            <w:tcW w:type="dxa" w:w="5400"/>
            <w:vAlign w:val="top"/>
            <w:shd w:fill="FAFAFB"/>
          </w:tcPr>
          <w:p>
            <w:pPr>
              <w:spacing w:after="20"/>
            </w:pPr>
            <w:r>
              <w:rPr>
                <w:sz w:val="16"/>
              </w:rPr>
              <w:t>Target after entity resolution.</w:t>
            </w:r>
          </w:p>
        </w:tc>
      </w:tr>
      <w:tr>
        <w:trPr>
          <w:cantSplit/>
        </w:trPr>
        <w:tc>
          <w:tcPr>
            <w:tcW w:type="dxa" w:w="2376"/>
            <w:vAlign w:val="top"/>
          </w:tcPr>
          <w:p>
            <w:pPr>
              <w:spacing w:after="20"/>
            </w:pPr>
            <w:r>
              <w:rPr>
                <w:sz w:val="16"/>
              </w:rPr>
              <w:t>Graph relationships</w:t>
            </w:r>
          </w:p>
        </w:tc>
        <w:tc>
          <w:tcPr>
            <w:tcW w:type="dxa" w:w="2736"/>
            <w:vAlign w:val="top"/>
          </w:tcPr>
          <w:p>
            <w:pPr>
              <w:spacing w:after="20"/>
            </w:pPr>
            <w:r>
              <w:rPr>
                <w:sz w:val="16"/>
              </w:rPr>
              <w:t>~0.5M-25M edges</w:t>
            </w:r>
          </w:p>
        </w:tc>
        <w:tc>
          <w:tcPr>
            <w:tcW w:type="dxa" w:w="5400"/>
            <w:vAlign w:val="top"/>
          </w:tcPr>
          <w:p>
            <w:pPr>
              <w:spacing w:after="20"/>
            </w:pPr>
            <w:r>
              <w:rPr>
                <w:sz w:val="16"/>
              </w:rPr>
              <w:t>Highly use-case dependent.</w:t>
            </w:r>
          </w:p>
        </w:tc>
      </w:tr>
      <w:tr>
        <w:trPr>
          <w:cantSplit/>
        </w:trPr>
        <w:tc>
          <w:tcPr>
            <w:tcW w:type="dxa" w:w="2376"/>
            <w:vAlign w:val="top"/>
            <w:shd w:fill="FAFAFB"/>
          </w:tcPr>
          <w:p>
            <w:pPr>
              <w:spacing w:after="20"/>
            </w:pPr>
            <w:r>
              <w:rPr>
                <w:sz w:val="16"/>
              </w:rPr>
              <w:t>Concurrent users</w:t>
            </w:r>
          </w:p>
        </w:tc>
        <w:tc>
          <w:tcPr>
            <w:tcW w:type="dxa" w:w="2736"/>
            <w:vAlign w:val="top"/>
            <w:shd w:fill="FAFAFB"/>
          </w:tcPr>
          <w:p>
            <w:pPr>
              <w:spacing w:after="20"/>
            </w:pPr>
            <w:r>
              <w:rPr>
                <w:sz w:val="16"/>
              </w:rPr>
              <w:t>~10-50</w:t>
            </w:r>
          </w:p>
        </w:tc>
        <w:tc>
          <w:tcPr>
            <w:tcW w:type="dxa" w:w="5400"/>
            <w:vAlign w:val="top"/>
            <w:shd w:fill="FAFAFB"/>
          </w:tcPr>
          <w:p>
            <w:pPr>
              <w:spacing w:after="20"/>
            </w:pPr>
            <w:r>
              <w:rPr>
                <w:sz w:val="16"/>
              </w:rPr>
              <w:t>Knowledge engineers, SMEs, data/AI teams.</w:t>
            </w:r>
          </w:p>
        </w:tc>
      </w:tr>
      <w:tr>
        <w:trPr>
          <w:cantSplit/>
        </w:trPr>
        <w:tc>
          <w:tcPr>
            <w:tcW w:type="dxa" w:w="2376"/>
            <w:vAlign w:val="top"/>
          </w:tcPr>
          <w:p>
            <w:pPr>
              <w:spacing w:after="20"/>
            </w:pPr>
            <w:r>
              <w:rPr>
                <w:sz w:val="16"/>
              </w:rPr>
              <w:t>Execution</w:t>
            </w:r>
          </w:p>
        </w:tc>
        <w:tc>
          <w:tcPr>
            <w:tcW w:type="dxa" w:w="2736"/>
            <w:vAlign w:val="top"/>
          </w:tcPr>
          <w:p>
            <w:pPr>
              <w:spacing w:after="20"/>
            </w:pPr>
            <w:r>
              <w:rPr>
                <w:sz w:val="16"/>
              </w:rPr>
              <w:t>Scheduled + on-demand</w:t>
            </w:r>
          </w:p>
        </w:tc>
        <w:tc>
          <w:tcPr>
            <w:tcW w:type="dxa" w:w="5400"/>
            <w:vAlign w:val="top"/>
          </w:tcPr>
          <w:p>
            <w:pPr>
              <w:spacing w:after="20"/>
            </w:pPr>
            <w:r>
              <w:rPr>
                <w:sz w:val="16"/>
              </w:rPr>
              <w:t>Hourly/daily domain refreshes are reasonable design targets; not yet enterprise-wide CDC.</w:t>
            </w:r>
          </w:p>
        </w:tc>
      </w:tr>
    </w:tbl>
    <w:p>
      <w:pPr>
        <w:spacing w:after="40"/>
      </w:pPr>
    </w:p>
    <w:p>
      <w:pPr>
        <w:pStyle w:val="Heading1"/>
      </w:pPr>
      <w:r>
        <w:t>8. MVP non-functional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  <w:tblHeader w:val="true"/>
        </w:trPr>
        <w:tc>
          <w:tcPr>
            <w:tcW w:type="dxa" w:w="2160"/>
            <w:shd w:fill="2E3238"/>
            <w:vAlign w:val="center"/>
          </w:tcPr>
          <w:p>
            <w:r>
              <w:rPr>
                <w:b/>
                <w:color w:val="FFFFFF"/>
                <w:sz w:val="17"/>
              </w:rPr>
              <w:t>Capability</w:t>
            </w:r>
          </w:p>
        </w:tc>
        <w:tc>
          <w:tcPr>
            <w:tcW w:type="dxa" w:w="8352"/>
            <w:shd w:fill="2E3238"/>
            <w:vAlign w:val="center"/>
          </w:tcPr>
          <w:p>
            <w:r>
              <w:rPr>
                <w:b/>
                <w:color w:val="FFFFFF"/>
                <w:sz w:val="17"/>
              </w:rPr>
              <w:t>MVP expectation</w:t>
            </w:r>
          </w:p>
        </w:tc>
      </w:tr>
      <w:tr>
        <w:trPr>
          <w:cantSplit/>
        </w:trPr>
        <w:tc>
          <w:tcPr>
            <w:tcW w:type="dxa" w:w="2160"/>
            <w:vAlign w:val="top"/>
          </w:tcPr>
          <w:p>
            <w:pPr>
              <w:spacing w:after="20"/>
            </w:pPr>
            <w:r>
              <w:rPr>
                <w:sz w:val="16"/>
              </w:rPr>
              <w:t>Security</w:t>
            </w:r>
          </w:p>
        </w:tc>
        <w:tc>
          <w:tcPr>
            <w:tcW w:type="dxa" w:w="8352"/>
            <w:vAlign w:val="top"/>
          </w:tcPr>
          <w:p>
            <w:pPr>
              <w:spacing w:after="20"/>
            </w:pPr>
            <w:r>
              <w:rPr>
                <w:sz w:val="16"/>
              </w:rPr>
              <w:t>SSO/RBAC where available; secrets stored in platform secret manager; source access inherited or mapped.</w:t>
            </w:r>
          </w:p>
        </w:tc>
      </w:tr>
      <w:tr>
        <w:trPr>
          <w:cantSplit/>
        </w:trPr>
        <w:tc>
          <w:tcPr>
            <w:tcW w:type="dxa" w:w="2160"/>
            <w:vAlign w:val="top"/>
            <w:shd w:fill="FAFAFB"/>
          </w:tcPr>
          <w:p>
            <w:pPr>
              <w:spacing w:after="20"/>
            </w:pPr>
            <w:r>
              <w:rPr>
                <w:sz w:val="16"/>
              </w:rPr>
              <w:t>Auditability</w:t>
            </w:r>
          </w:p>
        </w:tc>
        <w:tc>
          <w:tcPr>
            <w:tcW w:type="dxa" w:w="8352"/>
            <w:vAlign w:val="top"/>
            <w:shd w:fill="FAFAFB"/>
          </w:tcPr>
          <w:p>
            <w:pPr>
              <w:spacing w:after="20"/>
            </w:pPr>
            <w:r>
              <w:rPr>
                <w:sz w:val="16"/>
              </w:rPr>
              <w:t>Run history, source-to-asset provenance, reviewer decisions and publication history.</w:t>
            </w:r>
          </w:p>
        </w:tc>
      </w:tr>
      <w:tr>
        <w:trPr>
          <w:cantSplit/>
        </w:trPr>
        <w:tc>
          <w:tcPr>
            <w:tcW w:type="dxa" w:w="2160"/>
            <w:vAlign w:val="top"/>
          </w:tcPr>
          <w:p>
            <w:pPr>
              <w:spacing w:after="20"/>
            </w:pPr>
            <w:r>
              <w:rPr>
                <w:sz w:val="16"/>
              </w:rPr>
              <w:t>Reliability</w:t>
            </w:r>
          </w:p>
        </w:tc>
        <w:tc>
          <w:tcPr>
            <w:tcW w:type="dxa" w:w="8352"/>
            <w:vAlign w:val="top"/>
          </w:tcPr>
          <w:p>
            <w:pPr>
              <w:spacing w:after="20"/>
            </w:pPr>
            <w:r>
              <w:rPr>
                <w:sz w:val="16"/>
              </w:rPr>
              <w:t>Retry/idempotency for major tasks; recoverable processing state; quarantine for failed assets.</w:t>
            </w:r>
          </w:p>
        </w:tc>
      </w:tr>
      <w:tr>
        <w:trPr>
          <w:cantSplit/>
        </w:trPr>
        <w:tc>
          <w:tcPr>
            <w:tcW w:type="dxa" w:w="2160"/>
            <w:vAlign w:val="top"/>
            <w:shd w:fill="FAFAFB"/>
          </w:tcPr>
          <w:p>
            <w:pPr>
              <w:spacing w:after="20"/>
            </w:pPr>
            <w:r>
              <w:rPr>
                <w:sz w:val="16"/>
              </w:rPr>
              <w:t>Observability</w:t>
            </w:r>
          </w:p>
        </w:tc>
        <w:tc>
          <w:tcPr>
            <w:tcW w:type="dxa" w:w="8352"/>
            <w:vAlign w:val="top"/>
            <w:shd w:fill="FAFAFB"/>
          </w:tcPr>
          <w:p>
            <w:pPr>
              <w:spacing w:after="20"/>
            </w:pPr>
            <w:r>
              <w:rPr>
                <w:sz w:val="16"/>
              </w:rPr>
              <w:t>Agent/tool traces, error metrics, quality metrics, token/compute usage and processing latency.</w:t>
            </w:r>
          </w:p>
        </w:tc>
      </w:tr>
      <w:tr>
        <w:trPr>
          <w:cantSplit/>
        </w:trPr>
        <w:tc>
          <w:tcPr>
            <w:tcW w:type="dxa" w:w="2160"/>
            <w:vAlign w:val="top"/>
          </w:tcPr>
          <w:p>
            <w:pPr>
              <w:spacing w:after="20"/>
            </w:pPr>
            <w:r>
              <w:rPr>
                <w:sz w:val="16"/>
              </w:rPr>
              <w:t>Quality</w:t>
            </w:r>
          </w:p>
        </w:tc>
        <w:tc>
          <w:tcPr>
            <w:tcW w:type="dxa" w:w="8352"/>
            <w:vAlign w:val="top"/>
          </w:tcPr>
          <w:p>
            <w:pPr>
              <w:spacing w:after="20"/>
            </w:pPr>
            <w:r>
              <w:rPr>
                <w:sz w:val="16"/>
              </w:rPr>
              <w:t>Configurable confidence thresholds, entity merge rules, graph validation and evidence coverage.</w:t>
            </w:r>
          </w:p>
        </w:tc>
      </w:tr>
      <w:tr>
        <w:trPr>
          <w:cantSplit/>
        </w:trPr>
        <w:tc>
          <w:tcPr>
            <w:tcW w:type="dxa" w:w="2160"/>
            <w:vAlign w:val="top"/>
            <w:shd w:fill="FAFAFB"/>
          </w:tcPr>
          <w:p>
            <w:pPr>
              <w:spacing w:after="20"/>
            </w:pPr>
            <w:r>
              <w:rPr>
                <w:sz w:val="16"/>
              </w:rPr>
              <w:t>Performance</w:t>
            </w:r>
          </w:p>
        </w:tc>
        <w:tc>
          <w:tcPr>
            <w:tcW w:type="dxa" w:w="8352"/>
            <w:vAlign w:val="top"/>
            <w:shd w:fill="FAFAFB"/>
          </w:tcPr>
          <w:p>
            <w:pPr>
              <w:spacing w:after="20"/>
            </w:pPr>
            <w:r>
              <w:rPr>
                <w:sz w:val="16"/>
              </w:rPr>
              <w:t>Asynchronous/batch processing; optimize cost and throughput over interactive latency for large ingestion.</w:t>
            </w:r>
          </w:p>
        </w:tc>
      </w:tr>
      <w:tr>
        <w:trPr>
          <w:cantSplit/>
        </w:trPr>
        <w:tc>
          <w:tcPr>
            <w:tcW w:type="dxa" w:w="2160"/>
            <w:vAlign w:val="top"/>
          </w:tcPr>
          <w:p>
            <w:pPr>
              <w:spacing w:after="20"/>
            </w:pPr>
            <w:r>
              <w:rPr>
                <w:sz w:val="16"/>
              </w:rPr>
              <w:t>Extensibility</w:t>
            </w:r>
          </w:p>
        </w:tc>
        <w:tc>
          <w:tcPr>
            <w:tcW w:type="dxa" w:w="8352"/>
            <w:vAlign w:val="top"/>
          </w:tcPr>
          <w:p>
            <w:pPr>
              <w:spacing w:after="20"/>
            </w:pPr>
            <w:r>
              <w:rPr>
                <w:sz w:val="16"/>
              </w:rPr>
              <w:t>Adapter pattern for new parsers, graph stores, models, tools and source connectors.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9. MVP deployment variants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  <w:tblHeader w:val="true"/>
        </w:trPr>
        <w:tc>
          <w:tcPr>
            <w:tcW w:type="dxa" w:w="1944"/>
            <w:shd w:fill="2E3238"/>
            <w:vAlign w:val="center"/>
          </w:tcPr>
          <w:p>
            <w:r>
              <w:rPr>
                <w:b/>
                <w:color w:val="FFFFFF"/>
                <w:sz w:val="17"/>
              </w:rPr>
              <w:t>Variant</w:t>
            </w:r>
          </w:p>
        </w:tc>
        <w:tc>
          <w:tcPr>
            <w:tcW w:type="dxa" w:w="3240"/>
            <w:shd w:fill="2E3238"/>
            <w:vAlign w:val="center"/>
          </w:tcPr>
          <w:p>
            <w:r>
              <w:rPr>
                <w:b/>
                <w:color w:val="FFFFFF"/>
                <w:sz w:val="17"/>
              </w:rPr>
              <w:t>When to use</w:t>
            </w:r>
          </w:p>
        </w:tc>
        <w:tc>
          <w:tcPr>
            <w:tcW w:type="dxa" w:w="5328"/>
            <w:shd w:fill="2E3238"/>
            <w:vAlign w:val="center"/>
          </w:tcPr>
          <w:p>
            <w:r>
              <w:rPr>
                <w:b/>
                <w:color w:val="FFFFFF"/>
                <w:sz w:val="17"/>
              </w:rPr>
              <w:t>Included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pPr>
              <w:spacing w:after="20"/>
            </w:pPr>
            <w:r>
              <w:rPr>
                <w:sz w:val="16"/>
              </w:rPr>
              <w:t>Structured-only</w:t>
            </w:r>
          </w:p>
        </w:tc>
        <w:tc>
          <w:tcPr>
            <w:tcW w:type="dxa" w:w="3240"/>
            <w:vAlign w:val="top"/>
          </w:tcPr>
          <w:p>
            <w:pPr>
              <w:spacing w:after="20"/>
            </w:pPr>
            <w:r>
              <w:rPr>
                <w:sz w:val="16"/>
              </w:rPr>
              <w:t>Metadata/lineage/entity graph is priority</w:t>
            </w:r>
          </w:p>
        </w:tc>
        <w:tc>
          <w:tcPr>
            <w:tcW w:type="dxa" w:w="5328"/>
            <w:vAlign w:val="top"/>
          </w:tcPr>
          <w:p>
            <w:pPr>
              <w:spacing w:after="20"/>
            </w:pPr>
            <w:r>
              <w:rPr>
                <w:sz w:val="16"/>
              </w:rPr>
              <w:t>DB/catalog connectors, schema analysis, semantic mapping, entity/relationship inference</w:t>
            </w:r>
          </w:p>
        </w:tc>
      </w:tr>
      <w:tr>
        <w:trPr>
          <w:cantSplit/>
        </w:trPr>
        <w:tc>
          <w:tcPr>
            <w:tcW w:type="dxa" w:w="1944"/>
            <w:vAlign w:val="top"/>
            <w:shd w:fill="FAFAFB"/>
          </w:tcPr>
          <w:p>
            <w:pPr>
              <w:spacing w:after="20"/>
            </w:pPr>
            <w:r>
              <w:rPr>
                <w:sz w:val="16"/>
              </w:rPr>
              <w:t>Unstructured-only</w:t>
            </w:r>
          </w:p>
        </w:tc>
        <w:tc>
          <w:tcPr>
            <w:tcW w:type="dxa" w:w="3240"/>
            <w:vAlign w:val="top"/>
            <w:shd w:fill="FAFAFB"/>
          </w:tcPr>
          <w:p>
            <w:pPr>
              <w:spacing w:after="20"/>
            </w:pPr>
            <w:r>
              <w:rPr>
                <w:sz w:val="16"/>
              </w:rPr>
              <w:t>Knowledge extraction from document estates is priority</w:t>
            </w:r>
          </w:p>
        </w:tc>
        <w:tc>
          <w:tcPr>
            <w:tcW w:type="dxa" w:w="5328"/>
            <w:vAlign w:val="top"/>
            <w:shd w:fill="FAFAFB"/>
          </w:tcPr>
          <w:p>
            <w:pPr>
              <w:spacing w:after="20"/>
            </w:pPr>
            <w:r>
              <w:rPr>
                <w:sz w:val="16"/>
              </w:rPr>
              <w:t>Repository connector, parsing/OCR, entity/relation/fact/event extraction, evidence</w:t>
            </w:r>
          </w:p>
        </w:tc>
      </w:tr>
      <w:tr>
        <w:trPr>
          <w:cantSplit/>
        </w:trPr>
        <w:tc>
          <w:tcPr>
            <w:tcW w:type="dxa" w:w="1944"/>
            <w:vAlign w:val="top"/>
          </w:tcPr>
          <w:p>
            <w:pPr>
              <w:spacing w:after="20"/>
            </w:pPr>
            <w:r>
              <w:rPr>
                <w:sz w:val="16"/>
              </w:rPr>
              <w:t>Hybrid</w:t>
            </w:r>
          </w:p>
        </w:tc>
        <w:tc>
          <w:tcPr>
            <w:tcW w:type="dxa" w:w="3240"/>
            <w:vAlign w:val="top"/>
          </w:tcPr>
          <w:p>
            <w:pPr>
              <w:spacing w:after="20"/>
            </w:pPr>
            <w:r>
              <w:rPr>
                <w:sz w:val="16"/>
              </w:rPr>
              <w:t>Enterprise/domain knowledge graph</w:t>
            </w:r>
          </w:p>
        </w:tc>
        <w:tc>
          <w:tcPr>
            <w:tcW w:type="dxa" w:w="5328"/>
            <w:vAlign w:val="top"/>
          </w:tcPr>
          <w:p>
            <w:pPr>
              <w:spacing w:after="20"/>
            </w:pPr>
            <w:r>
              <w:rPr>
                <w:sz w:val="16"/>
              </w:rPr>
              <w:t>Both paths plus cross-source entity resolution, semantic alignment and unified graph publication</w:t>
            </w:r>
          </w:p>
        </w:tc>
      </w:tr>
    </w:tbl>
    <w:p>
      <w:pPr>
        <w:spacing w:after="40"/>
      </w:pPr>
    </w:p>
    <w:p>
      <w:pPr>
        <w:pStyle w:val="Heading1"/>
      </w:pPr>
      <w:r>
        <w:t>10. MVP success criteria</w:t>
      </w:r>
    </w:p>
    <w:p>
      <w:pPr>
        <w:pStyle w:val="ListBullet"/>
        <w:spacing w:after="40"/>
      </w:pPr>
      <w:r>
        <w:t>Connected sources can be processed repeatedly without manual upload.</w:t>
      </w:r>
    </w:p>
    <w:p>
      <w:pPr>
        <w:pStyle w:val="ListBullet"/>
        <w:spacing w:after="40"/>
      </w:pPr>
      <w:r>
        <w:t>Agent dynamically chooses appropriate structured/unstructured/hybrid processing strategies.</w:t>
      </w:r>
    </w:p>
    <w:p>
      <w:pPr>
        <w:pStyle w:val="ListBullet"/>
        <w:spacing w:after="40"/>
      </w:pPr>
      <w:r>
        <w:t>High-confidence assets can be automatically accepted according to policy; ambiguous assets are reviewable.</w:t>
      </w:r>
    </w:p>
    <w:p>
      <w:pPr>
        <w:pStyle w:val="ListBullet"/>
        <w:spacing w:after="40"/>
      </w:pPr>
      <w:r>
        <w:t>Source-to-graph provenance and confidence are persisted for every material asset.</w:t>
      </w:r>
    </w:p>
    <w:p>
      <w:pPr>
        <w:pStyle w:val="ListBullet"/>
        <w:spacing w:after="40"/>
      </w:pPr>
      <w:r>
        <w:t>Incremental refresh avoids rebuilding unchanged assets where technically feasible.</w:t>
      </w:r>
    </w:p>
    <w:p>
      <w:pPr>
        <w:pStyle w:val="ListBullet"/>
        <w:spacing w:after="40"/>
      </w:pPr>
      <w:r>
        <w:t>Published graph supports at least one downstream consumption use case such as RAG, search, agent context or domain exploration.</w:t>
      </w:r>
    </w:p>
    <w:p>
      <w:pPr>
        <w:pStyle w:val="ListBullet"/>
        <w:spacing w:after="40"/>
      </w:pPr>
      <w:r>
        <w:t>Operational metrics demonstrate a credible path to enterprise scale.</w:t>
      </w:r>
    </w:p>
    <w:p>
      <w:pPr>
        <w:pStyle w:val="Heading1"/>
      </w:pPr>
      <w:r>
        <w:t>11. Indicative delivery shape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  <w:tblHeader w:val="true"/>
        </w:trPr>
        <w:tc>
          <w:tcPr>
            <w:tcW w:type="dxa" w:w="2520"/>
            <w:shd w:fill="2E3238"/>
            <w:vAlign w:val="center"/>
          </w:tcPr>
          <w:p>
            <w:r>
              <w:rPr>
                <w:b/>
                <w:color w:val="FFFFFF"/>
                <w:sz w:val="17"/>
              </w:rPr>
              <w:t>Phase</w:t>
            </w:r>
          </w:p>
        </w:tc>
        <w:tc>
          <w:tcPr>
            <w:tcW w:type="dxa" w:w="2160"/>
            <w:shd w:fill="2E3238"/>
            <w:vAlign w:val="center"/>
          </w:tcPr>
          <w:p>
            <w:r>
              <w:rPr>
                <w:b/>
                <w:color w:val="FFFFFF"/>
                <w:sz w:val="17"/>
              </w:rPr>
              <w:t>Indicative duration</w:t>
            </w:r>
          </w:p>
        </w:tc>
        <w:tc>
          <w:tcPr>
            <w:tcW w:type="dxa" w:w="5832"/>
            <w:shd w:fill="2E3238"/>
            <w:vAlign w:val="center"/>
          </w:tcPr>
          <w:p>
            <w:r>
              <w:rPr>
                <w:b/>
                <w:color w:val="FFFFFF"/>
                <w:sz w:val="17"/>
              </w:rPr>
              <w:t>Primary outcome</w:t>
            </w:r>
          </w:p>
        </w:tc>
      </w:tr>
      <w:tr>
        <w:trPr>
          <w:cantSplit/>
        </w:trPr>
        <w:tc>
          <w:tcPr>
            <w:tcW w:type="dxa" w:w="2520"/>
            <w:vAlign w:val="top"/>
          </w:tcPr>
          <w:p>
            <w:pPr>
              <w:spacing w:after="20"/>
            </w:pPr>
            <w:r>
              <w:rPr>
                <w:sz w:val="16"/>
              </w:rPr>
              <w:t>Discovery &amp; architecture</w:t>
            </w:r>
          </w:p>
        </w:tc>
        <w:tc>
          <w:tcPr>
            <w:tcW w:type="dxa" w:w="2160"/>
            <w:vAlign w:val="top"/>
          </w:tcPr>
          <w:p>
            <w:pPr>
              <w:spacing w:after="20"/>
            </w:pPr>
            <w:r>
              <w:rPr>
                <w:sz w:val="16"/>
              </w:rPr>
              <w:t>2-3 weeks</w:t>
            </w:r>
          </w:p>
        </w:tc>
        <w:tc>
          <w:tcPr>
            <w:tcW w:type="dxa" w:w="5832"/>
            <w:vAlign w:val="top"/>
          </w:tcPr>
          <w:p>
            <w:pPr>
              <w:spacing w:after="20"/>
            </w:pPr>
            <w:r>
              <w:rPr>
                <w:sz w:val="16"/>
              </w:rPr>
              <w:t>Domain, sources, graph target, NFRs, security and evaluation design</w:t>
            </w:r>
          </w:p>
        </w:tc>
      </w:tr>
      <w:tr>
        <w:trPr>
          <w:cantSplit/>
        </w:trPr>
        <w:tc>
          <w:tcPr>
            <w:tcW w:type="dxa" w:w="2520"/>
            <w:vAlign w:val="top"/>
            <w:shd w:fill="FAFAFB"/>
          </w:tcPr>
          <w:p>
            <w:pPr>
              <w:spacing w:after="20"/>
            </w:pPr>
            <w:r>
              <w:rPr>
                <w:sz w:val="16"/>
              </w:rPr>
              <w:t>Platform foundation</w:t>
            </w:r>
          </w:p>
        </w:tc>
        <w:tc>
          <w:tcPr>
            <w:tcW w:type="dxa" w:w="2160"/>
            <w:vAlign w:val="top"/>
            <w:shd w:fill="FAFAFB"/>
          </w:tcPr>
          <w:p>
            <w:pPr>
              <w:spacing w:after="20"/>
            </w:pPr>
            <w:r>
              <w:rPr>
                <w:sz w:val="16"/>
              </w:rPr>
              <w:t>2-4 weeks</w:t>
            </w:r>
          </w:p>
        </w:tc>
        <w:tc>
          <w:tcPr>
            <w:tcW w:type="dxa" w:w="5832"/>
            <w:vAlign w:val="top"/>
            <w:shd w:fill="FAFAFB"/>
          </w:tcPr>
          <w:p>
            <w:pPr>
              <w:spacing w:after="20"/>
            </w:pPr>
            <w:r>
              <w:rPr>
                <w:sz w:val="16"/>
              </w:rPr>
              <w:t>Environments, connectors, asset store, orchestration, graph adapter</w:t>
            </w:r>
          </w:p>
        </w:tc>
      </w:tr>
      <w:tr>
        <w:trPr>
          <w:cantSplit/>
        </w:trPr>
        <w:tc>
          <w:tcPr>
            <w:tcW w:type="dxa" w:w="2520"/>
            <w:vAlign w:val="top"/>
          </w:tcPr>
          <w:p>
            <w:pPr>
              <w:spacing w:after="20"/>
            </w:pPr>
            <w:r>
              <w:rPr>
                <w:sz w:val="16"/>
              </w:rPr>
              <w:t>Agent &amp; tool implementation</w:t>
            </w:r>
          </w:p>
        </w:tc>
        <w:tc>
          <w:tcPr>
            <w:tcW w:type="dxa" w:w="2160"/>
            <w:vAlign w:val="top"/>
          </w:tcPr>
          <w:p>
            <w:pPr>
              <w:spacing w:after="20"/>
            </w:pPr>
            <w:r>
              <w:rPr>
                <w:sz w:val="16"/>
              </w:rPr>
              <w:t>4-6 weeks</w:t>
            </w:r>
          </w:p>
        </w:tc>
        <w:tc>
          <w:tcPr>
            <w:tcW w:type="dxa" w:w="5832"/>
            <w:vAlign w:val="top"/>
          </w:tcPr>
          <w:p>
            <w:pPr>
              <w:spacing w:after="20"/>
            </w:pPr>
            <w:r>
              <w:rPr>
                <w:sz w:val="16"/>
              </w:rPr>
              <w:t>Structured/unstructured paths, semantic tools, HITL, reactive loops</w:t>
            </w:r>
          </w:p>
        </w:tc>
      </w:tr>
      <w:tr>
        <w:trPr>
          <w:cantSplit/>
        </w:trPr>
        <w:tc>
          <w:tcPr>
            <w:tcW w:type="dxa" w:w="2520"/>
            <w:vAlign w:val="top"/>
            <w:shd w:fill="FAFAFB"/>
          </w:tcPr>
          <w:p>
            <w:pPr>
              <w:spacing w:after="20"/>
            </w:pPr>
            <w:r>
              <w:rPr>
                <w:sz w:val="16"/>
              </w:rPr>
              <w:t>Integration &amp; hardening</w:t>
            </w:r>
          </w:p>
        </w:tc>
        <w:tc>
          <w:tcPr>
            <w:tcW w:type="dxa" w:w="2160"/>
            <w:vAlign w:val="top"/>
            <w:shd w:fill="FAFAFB"/>
          </w:tcPr>
          <w:p>
            <w:pPr>
              <w:spacing w:after="20"/>
            </w:pPr>
            <w:r>
              <w:rPr>
                <w:sz w:val="16"/>
              </w:rPr>
              <w:t>3-4 weeks</w:t>
            </w:r>
          </w:p>
        </w:tc>
        <w:tc>
          <w:tcPr>
            <w:tcW w:type="dxa" w:w="5832"/>
            <w:vAlign w:val="top"/>
            <w:shd w:fill="FAFAFB"/>
          </w:tcPr>
          <w:p>
            <w:pPr>
              <w:spacing w:after="20"/>
            </w:pPr>
            <w:r>
              <w:rPr>
                <w:sz w:val="16"/>
              </w:rPr>
              <w:t>Security, observability, retries, scale tests, graph publication</w:t>
            </w:r>
          </w:p>
        </w:tc>
      </w:tr>
      <w:tr>
        <w:trPr>
          <w:cantSplit/>
        </w:trPr>
        <w:tc>
          <w:tcPr>
            <w:tcW w:type="dxa" w:w="2520"/>
            <w:vAlign w:val="top"/>
          </w:tcPr>
          <w:p>
            <w:pPr>
              <w:spacing w:after="20"/>
            </w:pPr>
            <w:r>
              <w:rPr>
                <w:sz w:val="16"/>
              </w:rPr>
              <w:t>Pilot &amp; stabilization</w:t>
            </w:r>
          </w:p>
        </w:tc>
        <w:tc>
          <w:tcPr>
            <w:tcW w:type="dxa" w:w="2160"/>
            <w:vAlign w:val="top"/>
          </w:tcPr>
          <w:p>
            <w:pPr>
              <w:spacing w:after="20"/>
            </w:pPr>
            <w:r>
              <w:rPr>
                <w:sz w:val="16"/>
              </w:rPr>
              <w:t>2-3 weeks</w:t>
            </w:r>
          </w:p>
        </w:tc>
        <w:tc>
          <w:tcPr>
            <w:tcW w:type="dxa" w:w="5832"/>
            <w:vAlign w:val="top"/>
          </w:tcPr>
          <w:p>
            <w:pPr>
              <w:spacing w:after="20"/>
            </w:pPr>
            <w:r>
              <w:rPr>
                <w:sz w:val="16"/>
              </w:rPr>
              <w:t>Domain rollout, SME validation, runbooks and production-pilot acceptance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E6670"/>
        <w:sz w:val="16"/>
      </w:rPr>
      <w:t xml:space="preserve">Knowledge Asset Construction Agent  |  </w:t>
    </w: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color w:val="2E3238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2E323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F47C2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2E323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2E323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