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F47C20"/>
          <w:sz w:val="18"/>
        </w:rPr>
        <w:t>AI FOR DATA • ENTERPRISE KNOWLEDGE</w:t>
      </w:r>
    </w:p>
    <w:p>
      <w:pPr>
        <w:pStyle w:val="Title"/>
      </w:pPr>
      <w:r>
        <w:t>POC Implementation Approach</w:t>
      </w:r>
    </w:p>
    <w:p>
      <w:r>
        <w:rPr>
          <w:color w:val="5E6670"/>
          <w:sz w:val="26"/>
        </w:rPr>
        <w:t>Functional validation of autonomous graph-ready asset generation with lightweight source onboarding</w:t>
      </w:r>
    </w:p>
    <w:p>
      <w:r>
        <w:rPr>
          <w:b/>
          <w:color w:val="F47C20"/>
          <w:sz w:val="36"/>
        </w:rPr>
        <w:t>Knowledge Asset Construction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7776"/>
      </w:tblGrid>
      <w:tr>
        <w:trPr>
          <w:cantSplit/>
          <w:tblHeader w:val="true"/>
        </w:trPr>
        <w:tc>
          <w:tcPr>
            <w:tcW w:type="dxa" w:w="5112"/>
            <w:tcBorders>
              <w:bottom w:val="single" w:sz="4" w:color="D9DDE2"/>
            </w:tcBorders>
          </w:tcPr>
          <w:p>
            <w:r>
              <w:rPr>
                <w:b/>
                <w:color w:val="2E3238"/>
              </w:rPr>
              <w:t>Purpose</w:t>
            </w:r>
          </w:p>
        </w:tc>
        <w:tc>
          <w:tcPr>
            <w:tcW w:type="dxa" w:w="5112"/>
            <w:tcBorders>
              <w:bottom w:val="single" w:sz="4" w:color="D9DDE2"/>
            </w:tcBorders>
          </w:tcPr>
          <w:p>
            <w:r>
              <w:t>Implementation approach for creating graph-ready assets from structured, unstructured or hybrid enterprise data.</w:t>
            </w:r>
          </w:p>
        </w:tc>
      </w:tr>
      <w:tr>
        <w:trPr>
          <w:cantSplit/>
        </w:trPr>
        <w:tc>
          <w:tcPr>
            <w:tcW w:type="dxa" w:w="5112"/>
            <w:tcBorders>
              <w:bottom w:val="single" w:sz="4" w:color="D9DDE2"/>
            </w:tcBorders>
          </w:tcPr>
          <w:p>
            <w:r>
              <w:rPr>
                <w:b/>
                <w:color w:val="2E3238"/>
              </w:rPr>
              <w:t>Operating model</w:t>
            </w:r>
          </w:p>
        </w:tc>
        <w:tc>
          <w:tcPr>
            <w:tcW w:type="dxa" w:w="5112"/>
            <w:tcBorders>
              <w:bottom w:val="single" w:sz="4" w:color="D9DDE2"/>
            </w:tcBorders>
          </w:tcPr>
          <w:p>
            <w:r>
              <w:t>Autonomous agent with dynamic orchestration, reactive reasoning, deterministic tools and human review gates.</w:t>
            </w:r>
          </w:p>
        </w:tc>
      </w:tr>
      <w:tr>
        <w:trPr>
          <w:cantSplit/>
        </w:trPr>
        <w:tc>
          <w:tcPr>
            <w:tcW w:type="dxa" w:w="5112"/>
            <w:tcBorders>
              <w:bottom w:val="single" w:sz="4" w:color="D9DDE2"/>
            </w:tcBorders>
          </w:tcPr>
          <w:p>
            <w:r>
              <w:rPr>
                <w:b/>
                <w:color w:val="2E3238"/>
              </w:rPr>
              <w:t>Document status</w:t>
            </w:r>
          </w:p>
        </w:tc>
        <w:tc>
          <w:tcPr>
            <w:tcW w:type="dxa" w:w="5112"/>
            <w:tcBorders>
              <w:bottom w:val="single" w:sz="4" w:color="D9DDE2"/>
            </w:tcBorders>
          </w:tcPr>
          <w:p>
            <w:r>
              <w:t>Reference implementation approach; indicative scale targets should be validated against client infrastructure, models and source characteristics.</w:t>
            </w:r>
          </w:p>
        </w:tc>
      </w:tr>
    </w:tbl>
    <w:p>
      <w:r>
        <w:br w:type="page"/>
      </w:r>
    </w:p>
    <w:p>
      <w:pPr>
        <w:pStyle w:val="Heading1"/>
      </w:pPr>
      <w:r>
        <w:t>1. Solution intent</w:t>
      </w:r>
    </w:p>
    <w:p>
      <w:r>
        <w:rPr>
          <w:b/>
        </w:rPr>
        <w:t xml:space="preserve">The Knowledge Asset Construction Agent </w:t>
      </w:r>
      <w:r>
        <w:t>creates governed, graph-ready assets from structured, unstructured or hybrid enterprise sources. It does not assume a fixed ETL-style workflow. The supervisor interprets the knowledge objective, inspects the available inputs, forms an execution plan, invokes specialist tools, evaluates intermediate outputs and re-plans when quality thresholds are not met.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  <w:tblHeader w:val="true"/>
        </w:trPr>
        <w:tc>
          <w:tcPr>
            <w:tcW w:type="dxa" w:w="10224"/>
            <w:shd w:fill="FFF6EF"/>
            <w:tcBorders>
              <w:top w:val="single" w:sz="4" w:color="F1D6C3"/>
              <w:left w:val="single" w:sz="18" w:color="F47C20"/>
              <w:bottom w:val="single" w:sz="4" w:color="F1D6C3"/>
              <w:right w:val="single" w:sz="4" w:color="F1D6C3"/>
            </w:tcBorders>
          </w:tcPr>
          <w:p>
            <w:r>
              <w:rPr>
                <w:b/>
                <w:color w:val="F47C20"/>
              </w:rPr>
              <w:t>Key architectural principle</w:t>
              <w:br/>
            </w:r>
            <w:r>
              <w:rPr>
                <w:color w:val="2E3238"/>
              </w:rPr>
              <w:t>Source modality determines the execution path; it does not create separate products. The same agentic framework can be deployed for structured-only, unstructured-only or hybrid use cases.</w:t>
            </w:r>
          </w:p>
        </w:tc>
      </w:tr>
    </w:tbl>
    <w:p>
      <w:pPr>
        <w:spacing w:after="40"/>
      </w:pPr>
    </w:p>
    <w:p>
      <w:pPr>
        <w:pStyle w:val="Heading1"/>
      </w:pPr>
      <w:r>
        <w:t>2. Graph-ready asset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1800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Asset level</w:t>
            </w:r>
          </w:p>
        </w:tc>
        <w:tc>
          <w:tcPr>
            <w:tcW w:type="dxa" w:w="3024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5472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Representative outputs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sz w:val="16"/>
              </w:rPr>
              <w:t>L0 - Source &amp; evidence</w:t>
            </w:r>
          </w:p>
        </w:tc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6"/>
              </w:rPr>
              <w:t>Preserve source context and traceability</w:t>
            </w:r>
          </w:p>
        </w:tc>
        <w:tc>
          <w:tcPr>
            <w:tcW w:type="dxa" w:w="5472"/>
            <w:vAlign w:val="top"/>
          </w:tcPr>
          <w:p>
            <w:pPr>
              <w:spacing w:after="20"/>
            </w:pPr>
            <w:r>
              <w:rPr>
                <w:sz w:val="16"/>
              </w:rPr>
              <w:t>Source metadata, schema/document structure, chunks, page/section references, provenance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L1 - Metadata graph</w:t>
            </w:r>
          </w:p>
        </w:tc>
        <w:tc>
          <w:tcPr>
            <w:tcW w:type="dxa" w:w="3024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Describe enterprise information assets</w:t>
            </w:r>
          </w:p>
        </w:tc>
        <w:tc>
          <w:tcPr>
            <w:tcW w:type="dxa" w:w="547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Datasets, tables, columns, documents, owners, tags, lineage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sz w:val="16"/>
              </w:rPr>
              <w:t>L2 - Entity graph</w:t>
            </w:r>
          </w:p>
        </w:tc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6"/>
              </w:rPr>
              <w:t>Identify and canonicalize business/technical entities</w:t>
            </w:r>
          </w:p>
        </w:tc>
        <w:tc>
          <w:tcPr>
            <w:tcW w:type="dxa" w:w="5472"/>
            <w:vAlign w:val="top"/>
          </w:tcPr>
          <w:p>
            <w:pPr>
              <w:spacing w:after="20"/>
            </w:pPr>
            <w:r>
              <w:rPr>
                <w:sz w:val="16"/>
              </w:rPr>
              <w:t>Entity types, canonical IDs, aliases, attributes, mentions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L3 - Relationship graph</w:t>
            </w:r>
          </w:p>
        </w:tc>
        <w:tc>
          <w:tcPr>
            <w:tcW w:type="dxa" w:w="3024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Connect entities</w:t>
            </w:r>
          </w:p>
        </w:tc>
        <w:tc>
          <w:tcPr>
            <w:tcW w:type="dxa" w:w="547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Explicit/inferred edges, relationship properties, confidence, evidence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sz w:val="16"/>
              </w:rPr>
              <w:t>L4 - Semantic/domain graph</w:t>
            </w:r>
          </w:p>
        </w:tc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6"/>
              </w:rPr>
              <w:t>Represent enterprise meaning</w:t>
            </w:r>
          </w:p>
        </w:tc>
        <w:tc>
          <w:tcPr>
            <w:tcW w:type="dxa" w:w="5472"/>
            <w:vAlign w:val="top"/>
          </w:tcPr>
          <w:p>
            <w:pPr>
              <w:spacing w:after="20"/>
            </w:pPr>
            <w:r>
              <w:rPr>
                <w:sz w:val="16"/>
              </w:rPr>
              <w:t>Glossary terms, concepts, taxonomy, ontology mappings, semantic types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L5 - Contextual knowledge</w:t>
            </w:r>
          </w:p>
        </w:tc>
        <w:tc>
          <w:tcPr>
            <w:tcW w:type="dxa" w:w="3024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Represent facts and business context</w:t>
            </w:r>
          </w:p>
        </w:tc>
        <w:tc>
          <w:tcPr>
            <w:tcW w:type="dxa" w:w="547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Claims, facts, events, temporal context, business rules, evidence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sz w:val="16"/>
              </w:rPr>
              <w:t>L6 - Consumption assets</w:t>
            </w:r>
          </w:p>
        </w:tc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6"/>
              </w:rPr>
              <w:t>Prepare graph for downstream use</w:t>
            </w:r>
          </w:p>
        </w:tc>
        <w:tc>
          <w:tcPr>
            <w:tcW w:type="dxa" w:w="5472"/>
            <w:vAlign w:val="top"/>
          </w:tcPr>
          <w:p>
            <w:pPr>
              <w:spacing w:after="20"/>
            </w:pPr>
            <w:r>
              <w:rPr>
                <w:sz w:val="16"/>
              </w:rPr>
              <w:t>Domain views, retrieval paths, context packages, graph projections, publication manifest</w:t>
            </w:r>
          </w:p>
        </w:tc>
      </w:tr>
    </w:tbl>
    <w:p>
      <w:pPr>
        <w:spacing w:after="40"/>
      </w:pPr>
    </w:p>
    <w:p>
      <w:pPr>
        <w:pStyle w:val="Heading1"/>
      </w:pPr>
      <w:r>
        <w:t>3. Agent input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2160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Input group</w:t>
            </w:r>
          </w:p>
        </w:tc>
        <w:tc>
          <w:tcPr>
            <w:tcW w:type="dxa" w:w="1152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Required?</w:t>
            </w:r>
          </w:p>
        </w:tc>
        <w:tc>
          <w:tcPr>
            <w:tcW w:type="dxa" w:w="6912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What can be supplied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Knowledge objective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sz w:val="16"/>
              </w:rPr>
              <w:t>Yes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sz w:val="16"/>
              </w:rPr>
              <w:t>Business/domain objective, intended graph purpose, priority concepts or questions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Source scope</w:t>
            </w:r>
          </w:p>
        </w:tc>
        <w:tc>
          <w:tcPr>
            <w:tcW w:type="dxa" w:w="115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Yes</w:t>
            </w:r>
          </w:p>
        </w:tc>
        <w:tc>
          <w:tcPr>
            <w:tcW w:type="dxa" w:w="691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Structured, unstructured or hybrid source selection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Enterprise context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sz w:val="16"/>
              </w:rPr>
              <w:t>Optional but recommended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sz w:val="16"/>
              </w:rPr>
              <w:t>Glossary, taxonomy, ontology, data model, catalog exports, existing graph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Operating policy</w:t>
            </w:r>
          </w:p>
        </w:tc>
        <w:tc>
          <w:tcPr>
            <w:tcW w:type="dxa" w:w="115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Yes</w:t>
            </w:r>
          </w:p>
        </w:tc>
        <w:tc>
          <w:tcPr>
            <w:tcW w:type="dxa" w:w="691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Autonomy level, allowed tools/actions, HITL gates, publication permissions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Quality policy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sz w:val="16"/>
              </w:rPr>
              <w:t>Yes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sz w:val="16"/>
              </w:rPr>
              <w:t>Confidence thresholds, validation rules, merge/review thresholds, provenance requirements</w:t>
            </w:r>
          </w:p>
        </w:tc>
      </w:tr>
    </w:tbl>
    <w:p>
      <w:pPr>
        <w:spacing w:after="40"/>
      </w:pPr>
    </w:p>
    <w:p>
      <w:pPr>
        <w:pStyle w:val="Heading1"/>
      </w:pPr>
      <w:r>
        <w:t>4. POC scope</w:t>
      </w:r>
    </w:p>
    <w:p>
      <w:r>
        <w:rPr>
          <w:b/>
        </w:rPr>
        <w:t xml:space="preserve">Objective: </w:t>
      </w:r>
      <w:r>
        <w:t>prove the end-to-end functional behavior of the agent without first building enterprise-grade connectors, high-volume processing or continuous operations.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2160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8352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POC approach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Structured data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sz w:val="16"/>
              </w:rPr>
              <w:t>User uploads schema definitions/export files for selected tables. Optional small representative sample rows can be supplied for semantic profiling and entity/relationship validation. No live database connection is required.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Unstructured data</w:t>
            </w:r>
          </w:p>
        </w:tc>
        <w:tc>
          <w:tcPr>
            <w:tcW w:type="dxa" w:w="835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User uploads PDF, DOC/DOCX and image files directly. The agent parses/OCRs the content as required and creates graph-ready assets.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Hybrid linking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sz w:val="16"/>
              </w:rPr>
              <w:t>Structured schema-derived entities can be aligned with entities/relationships extracted from uploaded documents.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Enterprise context</w:t>
            </w:r>
          </w:p>
        </w:tc>
        <w:tc>
          <w:tcPr>
            <w:tcW w:type="dxa" w:w="835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Optional upload of glossary/taxonomy/ontology samples or a small existing graph extract.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Publication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sz w:val="16"/>
              </w:rPr>
              <w:t>Generate graph asset package and optionally load to a sandbox graph store or export JSON/CSV/RDF/Cypher-like artifacts.</w:t>
            </w:r>
          </w:p>
        </w:tc>
      </w:tr>
    </w:tbl>
    <w:p>
      <w:pPr>
        <w:spacing w:after="40"/>
      </w:pPr>
    </w:p>
    <w:p>
      <w:pPr>
        <w:pStyle w:val="Heading1"/>
      </w:pPr>
      <w:r>
        <w:t>5. POC user journey</w:t>
      </w:r>
    </w:p>
    <w:p>
      <w:pPr>
        <w:pStyle w:val="ListNumber"/>
        <w:spacing w:after="40"/>
      </w:pPr>
      <w:r>
        <w:t>Create a knowledge project and specify the business/domain objective.</w:t>
      </w:r>
    </w:p>
    <w:p>
      <w:pPr>
        <w:pStyle w:val="ListNumber"/>
        <w:spacing w:after="40"/>
      </w:pPr>
      <w:r>
        <w:t>Select Structured, Unstructured or Hybrid processing mode.</w:t>
      </w:r>
    </w:p>
    <w:p>
      <w:pPr>
        <w:pStyle w:val="ListNumber"/>
        <w:spacing w:after="40"/>
      </w:pPr>
      <w:r>
        <w:t>Upload source schemas and/or documents.</w:t>
      </w:r>
    </w:p>
    <w:p>
      <w:pPr>
        <w:pStyle w:val="ListNumber"/>
        <w:spacing w:after="40"/>
      </w:pPr>
      <w:r>
        <w:t>Optionally upload glossary, taxonomy, ontology or mapping context.</w:t>
      </w:r>
    </w:p>
    <w:p>
      <w:pPr>
        <w:pStyle w:val="ListNumber"/>
        <w:spacing w:after="40"/>
      </w:pPr>
      <w:r>
        <w:t>Agent inspects inputs and dynamically generates an execution plan.</w:t>
      </w:r>
    </w:p>
    <w:p>
      <w:pPr>
        <w:pStyle w:val="ListNumber"/>
        <w:spacing w:after="40"/>
      </w:pPr>
      <w:r>
        <w:t>Agent creates source, semantic, entity, relationship, fact/event, governance and quality assets as applicable.</w:t>
      </w:r>
    </w:p>
    <w:p>
      <w:pPr>
        <w:pStyle w:val="ListNumber"/>
        <w:spacing w:after="40"/>
      </w:pPr>
      <w:r>
        <w:t>Agent evaluates confidence and requests human review only for ambiguous/high-impact items.</w:t>
      </w:r>
    </w:p>
    <w:p>
      <w:pPr>
        <w:pStyle w:val="ListNumber"/>
        <w:spacing w:after="40"/>
      </w:pPr>
      <w:r>
        <w:t>User reviews proposed graph schema and graph-ready asset package.</w:t>
      </w:r>
    </w:p>
    <w:p>
      <w:pPr>
        <w:pStyle w:val="ListNumber"/>
        <w:spacing w:after="40"/>
      </w:pPr>
      <w:r>
        <w:t>Export or publish the accepted assets to a sandbox graph.</w:t>
      </w:r>
    </w:p>
    <w:p>
      <w:pPr>
        <w:pStyle w:val="Heading1"/>
      </w:pPr>
      <w:r>
        <w:t>6. Autonomous orchestration in the POC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2160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Agent behavior</w:t>
            </w:r>
          </w:p>
        </w:tc>
        <w:tc>
          <w:tcPr>
            <w:tcW w:type="dxa" w:w="8352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POC realization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Plan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sz w:val="16"/>
              </w:rPr>
              <w:t>Interpret objective and source characteristics; select required processing steps.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Act</w:t>
            </w:r>
          </w:p>
        </w:tc>
        <w:tc>
          <w:tcPr>
            <w:tcW w:type="dxa" w:w="835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Invoke schema parser, document parser/OCR, entity extraction, relationship extraction, ontology mapping and validation tools.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Observe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sz w:val="16"/>
              </w:rPr>
              <w:t>Assess extraction quality, confidence, contradictions, unmapped concepts and missing evidence.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React / re-plan</w:t>
            </w:r>
          </w:p>
        </w:tc>
        <w:tc>
          <w:tcPr>
            <w:tcW w:type="dxa" w:w="835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Retry with alternative parser/prompt/tool, refine mappings, or route uncertain items to review.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Converge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sz w:val="16"/>
              </w:rPr>
              <w:t>Produce graph-ready assets only when minimum acceptance rules are satisfied.</w:t>
            </w:r>
          </w:p>
        </w:tc>
      </w:tr>
    </w:tbl>
    <w:p>
      <w:pPr>
        <w:spacing w:after="40"/>
      </w:pPr>
    </w:p>
    <w:p>
      <w:pPr>
        <w:pStyle w:val="Heading1"/>
      </w:pPr>
      <w:r>
        <w:t>7. Indicative POC scale envelope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  <w:tblHeader w:val="true"/>
        </w:trPr>
        <w:tc>
          <w:tcPr>
            <w:tcW w:type="dxa" w:w="10224"/>
            <w:shd w:fill="FFF6EF"/>
            <w:tcBorders>
              <w:top w:val="single" w:sz="4" w:color="F1D6C3"/>
              <w:left w:val="single" w:sz="18" w:color="F47C20"/>
              <w:bottom w:val="single" w:sz="4" w:color="F1D6C3"/>
              <w:right w:val="single" w:sz="4" w:color="F1D6C3"/>
            </w:tcBorders>
          </w:tcPr>
          <w:p>
            <w:r>
              <w:rPr>
                <w:b/>
                <w:color w:val="F47C20"/>
              </w:rPr>
              <w:t>Scale interpretation</w:t>
              <w:br/>
            </w:r>
            <w:r>
              <w:rPr>
                <w:color w:val="2E3238"/>
              </w:rPr>
              <w:t>The following are proposal-grade design targets for a controlled POC, not hard limits. Actual throughput depends on document length, image quality, model choice, context size and available compute.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2376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2592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Indicative POC target</w:t>
            </w:r>
          </w:p>
        </w:tc>
        <w:tc>
          <w:tcPr>
            <w:tcW w:type="dxa" w:w="5544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6"/>
              </w:rPr>
              <w:t>Structured schemas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6"/>
              </w:rPr>
              <w:t>~10-50 tables per project</w:t>
            </w:r>
          </w:p>
        </w:tc>
        <w:tc>
          <w:tcPr>
            <w:tcW w:type="dxa" w:w="5544"/>
            <w:vAlign w:val="top"/>
          </w:tcPr>
          <w:p>
            <w:pPr>
              <w:spacing w:after="20"/>
            </w:pPr>
            <w:r>
              <w:rPr>
                <w:sz w:val="16"/>
              </w:rPr>
              <w:t>Schema/DDL/catalog export; optionally small sample data.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Columns/attributes</w:t>
            </w:r>
          </w:p>
        </w:tc>
        <w:tc>
          <w:tcPr>
            <w:tcW w:type="dxa" w:w="259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~100-1,500</w:t>
            </w:r>
          </w:p>
        </w:tc>
        <w:tc>
          <w:tcPr>
            <w:tcW w:type="dxa" w:w="5544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Enough to validate domain/entity discovery and relationship inference.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6"/>
              </w:rPr>
              <w:t>Unstructured files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6"/>
              </w:rPr>
              <w:t>~20-100 files per project</w:t>
            </w:r>
          </w:p>
        </w:tc>
        <w:tc>
          <w:tcPr>
            <w:tcW w:type="dxa" w:w="5544"/>
            <w:vAlign w:val="top"/>
          </w:tcPr>
          <w:p>
            <w:pPr>
              <w:spacing w:after="20"/>
            </w:pPr>
            <w:r>
              <w:rPr>
                <w:sz w:val="16"/>
              </w:rPr>
              <w:t>PDF/DOCX/images; representative mix is preferable to high volume.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Document pages</w:t>
            </w:r>
          </w:p>
        </w:tc>
        <w:tc>
          <w:tcPr>
            <w:tcW w:type="dxa" w:w="259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~500-3,000 total pages</w:t>
            </w:r>
          </w:p>
        </w:tc>
        <w:tc>
          <w:tcPr>
            <w:tcW w:type="dxa" w:w="5544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Assumes typical enterprise documents; scanned/image-heavy files cost more.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6"/>
              </w:rPr>
              <w:t>Graph entities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6"/>
              </w:rPr>
              <w:t>~1K-25K candidate nodes</w:t>
            </w:r>
          </w:p>
        </w:tc>
        <w:tc>
          <w:tcPr>
            <w:tcW w:type="dxa" w:w="5544"/>
            <w:vAlign w:val="top"/>
          </w:tcPr>
          <w:p>
            <w:pPr>
              <w:spacing w:after="20"/>
            </w:pPr>
            <w:r>
              <w:rPr>
                <w:sz w:val="16"/>
              </w:rPr>
              <w:t>Depends heavily on source density and deduplication.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Graph relationships</w:t>
            </w:r>
          </w:p>
        </w:tc>
        <w:tc>
          <w:tcPr>
            <w:tcW w:type="dxa" w:w="259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~2K-100K candidate edges</w:t>
            </w:r>
          </w:p>
        </w:tc>
        <w:tc>
          <w:tcPr>
            <w:tcW w:type="dxa" w:w="5544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Includes extracted and inferred candidates before acceptance.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6"/>
              </w:rPr>
              <w:t>Concurrent users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6"/>
              </w:rPr>
              <w:t>1-5</w:t>
            </w:r>
          </w:p>
        </w:tc>
        <w:tc>
          <w:tcPr>
            <w:tcW w:type="dxa" w:w="5544"/>
            <w:vAlign w:val="top"/>
          </w:tcPr>
          <w:p>
            <w:pPr>
              <w:spacing w:after="20"/>
            </w:pPr>
            <w:r>
              <w:rPr>
                <w:sz w:val="16"/>
              </w:rPr>
              <w:t>Workshop / solution-validation usage.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Processing pattern</w:t>
            </w:r>
          </w:p>
        </w:tc>
        <w:tc>
          <w:tcPr>
            <w:tcW w:type="dxa" w:w="259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On-demand batch</w:t>
            </w:r>
          </w:p>
        </w:tc>
        <w:tc>
          <w:tcPr>
            <w:tcW w:type="dxa" w:w="5544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No continuous ingestion or SLA commitment.</w:t>
            </w:r>
          </w:p>
        </w:tc>
      </w:tr>
    </w:tbl>
    <w:p>
      <w:pPr>
        <w:spacing w:after="40"/>
      </w:pPr>
    </w:p>
    <w:p>
      <w:pPr>
        <w:pStyle w:val="Heading1"/>
      </w:pPr>
      <w:r>
        <w:t>8. POC functional components</w:t>
      </w:r>
    </w:p>
    <w:p>
      <w:pPr>
        <w:pStyle w:val="ListBullet"/>
        <w:spacing w:after="40"/>
      </w:pPr>
      <w:r>
        <w:t>Project/configuration UI or lightweight API.</w:t>
      </w:r>
    </w:p>
    <w:p>
      <w:pPr>
        <w:pStyle w:val="ListBullet"/>
        <w:spacing w:after="40"/>
      </w:pPr>
      <w:r>
        <w:t>File upload and schema upload service.</w:t>
      </w:r>
    </w:p>
    <w:p>
      <w:pPr>
        <w:pStyle w:val="ListBullet"/>
        <w:spacing w:after="40"/>
      </w:pPr>
      <w:r>
        <w:t>Supervisor/planner with dynamic task orchestration.</w:t>
      </w:r>
    </w:p>
    <w:p>
      <w:pPr>
        <w:pStyle w:val="ListBullet"/>
        <w:spacing w:after="40"/>
      </w:pPr>
      <w:r>
        <w:t>Structured schema understanding and semantic inference tools.</w:t>
      </w:r>
    </w:p>
    <w:p>
      <w:pPr>
        <w:pStyle w:val="ListBullet"/>
        <w:spacing w:after="40"/>
      </w:pPr>
      <w:r>
        <w:t>Document parsing, OCR and structure extraction tools.</w:t>
      </w:r>
    </w:p>
    <w:p>
      <w:pPr>
        <w:pStyle w:val="ListBullet"/>
        <w:spacing w:after="40"/>
      </w:pPr>
      <w:r>
        <w:t>Entity, relationship, claim/fact and event extraction.</w:t>
      </w:r>
    </w:p>
    <w:p>
      <w:pPr>
        <w:pStyle w:val="ListBullet"/>
        <w:spacing w:after="40"/>
      </w:pPr>
      <w:r>
        <w:t>Entity resolution and semantic/ontology alignment.</w:t>
      </w:r>
    </w:p>
    <w:p>
      <w:pPr>
        <w:pStyle w:val="ListBullet"/>
        <w:spacing w:after="40"/>
      </w:pPr>
      <w:r>
        <w:t>Graph schema proposal and graph asset packaging.</w:t>
      </w:r>
    </w:p>
    <w:p>
      <w:pPr>
        <w:pStyle w:val="ListBullet"/>
        <w:spacing w:after="40"/>
      </w:pPr>
      <w:r>
        <w:t>Confidence scoring, provenance capture and lightweight HITL review.</w:t>
      </w:r>
    </w:p>
    <w:p>
      <w:pPr>
        <w:pStyle w:val="ListBullet"/>
        <w:spacing w:after="40"/>
      </w:pPr>
      <w:r>
        <w:t>Sandbox graph visualization/export.</w:t>
      </w:r>
    </w:p>
    <w:p>
      <w:pPr>
        <w:pStyle w:val="Heading1"/>
      </w:pPr>
      <w:r>
        <w:t>9. What is intentionally not productionized</w:t>
      </w:r>
    </w:p>
    <w:p>
      <w:pPr>
        <w:pStyle w:val="ListBullet"/>
        <w:spacing w:after="40"/>
      </w:pPr>
      <w:r>
        <w:t>Live enterprise database connectors and CDC.</w:t>
      </w:r>
    </w:p>
    <w:p>
      <w:pPr>
        <w:pStyle w:val="ListBullet"/>
        <w:spacing w:after="40"/>
      </w:pPr>
      <w:r>
        <w:t>Large-scale object-store/repository ingestion.</w:t>
      </w:r>
    </w:p>
    <w:p>
      <w:pPr>
        <w:pStyle w:val="ListBullet"/>
        <w:spacing w:after="40"/>
      </w:pPr>
      <w:r>
        <w:t>Enterprise IAM, fine-grained authorization and secrets lifecycle.</w:t>
      </w:r>
    </w:p>
    <w:p>
      <w:pPr>
        <w:pStyle w:val="ListBullet"/>
        <w:spacing w:after="40"/>
      </w:pPr>
      <w:r>
        <w:t>High availability, disaster recovery and strict SLAs.</w:t>
      </w:r>
    </w:p>
    <w:p>
      <w:pPr>
        <w:pStyle w:val="ListBullet"/>
        <w:spacing w:after="40"/>
      </w:pPr>
      <w:r>
        <w:t>Distributed high-throughput processing and autoscaling.</w:t>
      </w:r>
    </w:p>
    <w:p>
      <w:pPr>
        <w:pStyle w:val="ListBullet"/>
        <w:spacing w:after="40"/>
      </w:pPr>
      <w:r>
        <w:t>Continuous graph maintenance and event-driven change detection.</w:t>
      </w:r>
    </w:p>
    <w:p>
      <w:pPr>
        <w:pStyle w:val="ListBullet"/>
        <w:spacing w:after="40"/>
      </w:pPr>
      <w:r>
        <w:t>Full observability, chargeback and production support model.</w:t>
      </w:r>
    </w:p>
    <w:p>
      <w:pPr>
        <w:pStyle w:val="Heading1"/>
      </w:pPr>
      <w:r>
        <w:t>10. POC success criteria</w:t>
      </w:r>
    </w:p>
    <w:p>
      <w:pPr>
        <w:pStyle w:val="ListBullet"/>
        <w:spacing w:after="40"/>
      </w:pPr>
      <w:r>
        <w:t>Agent creates the expected graph-ready asset families from both structured schema uploads and unstructured files.</w:t>
      </w:r>
    </w:p>
    <w:p>
      <w:pPr>
        <w:pStyle w:val="ListBullet"/>
        <w:spacing w:after="40"/>
      </w:pPr>
      <w:r>
        <w:t>Every accepted entity/relationship/fact is traceable to a source or clearly marked as inferred.</w:t>
      </w:r>
    </w:p>
    <w:p>
      <w:pPr>
        <w:pStyle w:val="ListBullet"/>
        <w:spacing w:after="40"/>
      </w:pPr>
      <w:r>
        <w:t>Agent demonstrates reactive behavior for parsing failures, ambiguous mappings or low-confidence extraction.</w:t>
      </w:r>
    </w:p>
    <w:p>
      <w:pPr>
        <w:pStyle w:val="ListBullet"/>
        <w:spacing w:after="40"/>
      </w:pPr>
      <w:r>
        <w:t>Human reviewer can inspect and approve/reject high-impact suggestions.</w:t>
      </w:r>
    </w:p>
    <w:p>
      <w:pPr>
        <w:pStyle w:val="ListBullet"/>
        <w:spacing w:after="40"/>
      </w:pPr>
      <w:r>
        <w:t>Graph asset package can be exported or materialized in a sandbox graph.</w:t>
      </w:r>
    </w:p>
    <w:p>
      <w:pPr>
        <w:pStyle w:val="ListBullet"/>
        <w:spacing w:after="40"/>
      </w:pPr>
      <w:r>
        <w:t>Quality measures are sufficient to justify progression to connected MVP implementation.</w:t>
      </w:r>
    </w:p>
    <w:p>
      <w:pPr>
        <w:pStyle w:val="Heading1"/>
      </w:pPr>
      <w:r>
        <w:t>11. Indicative delivery shape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2304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2160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Indicative duration</w:t>
            </w:r>
          </w:p>
        </w:tc>
        <w:tc>
          <w:tcPr>
            <w:tcW w:type="dxa" w:w="6048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Primary outcome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Scope &amp; design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1 week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sz w:val="16"/>
              </w:rPr>
              <w:t>Use case, sources, ontology context, quality rules</w:t>
            </w:r>
          </w:p>
        </w:tc>
      </w:tr>
      <w:tr>
        <w:trPr>
          <w:cantSplit/>
        </w:trPr>
        <w:tc>
          <w:tcPr>
            <w:tcW w:type="dxa" w:w="2304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Build &amp; configure</w:t>
            </w:r>
          </w:p>
        </w:tc>
        <w:tc>
          <w:tcPr>
            <w:tcW w:type="dxa" w:w="216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2-3 weeks</w:t>
            </w:r>
          </w:p>
        </w:tc>
        <w:tc>
          <w:tcPr>
            <w:tcW w:type="dxa" w:w="6048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Agent workflow, tools, extraction paths, UI/API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 &amp; refine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1-2 weeks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sz w:val="16"/>
              </w:rPr>
              <w:t>Functional testing, SME review, prompt/tool tuning</w:t>
            </w:r>
          </w:p>
        </w:tc>
      </w:tr>
      <w:tr>
        <w:trPr>
          <w:cantSplit/>
        </w:trPr>
        <w:tc>
          <w:tcPr>
            <w:tcW w:type="dxa" w:w="2304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Demonstrate &amp; handover</w:t>
            </w:r>
          </w:p>
        </w:tc>
        <w:tc>
          <w:tcPr>
            <w:tcW w:type="dxa" w:w="216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~1 week</w:t>
            </w:r>
          </w:p>
        </w:tc>
        <w:tc>
          <w:tcPr>
            <w:tcW w:type="dxa" w:w="6048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POC results, limitations, MVP backlog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E6670"/>
        <w:sz w:val="16"/>
      </w:rPr>
      <w:t xml:space="preserve">Knowledge Asset Construction Agent  |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E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E323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F47C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E323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2E323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