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Product Catalog - Industrial Automation</w:t>
      </w:r>
    </w:p>
    <w:p>
      <w:r>
        <w:rPr>
          <w:b/>
        </w:rPr>
        <w:t>Document ID: CAT-2026-07</w:t>
        <w:br/>
      </w:r>
      <w:r>
        <w:t>Published: 15 July 2026</w:t>
        <w:br/>
      </w:r>
      <w:r>
        <w:t>Owner: Procurement Product Management</w:t>
        <w:br/>
      </w:r>
      <w:r>
        <w:t>Status: Approved for internal sourcing use</w:t>
      </w:r>
    </w:p>
    <w:p>
      <w:pPr>
        <w:pStyle w:val="Heading1"/>
      </w:pPr>
      <w:r>
        <w:t>Preferred Supplier</w:t>
      </w:r>
    </w:p>
    <w:p>
      <w:r>
        <w:t>ACME Co. is the preferred supplier for selected industrial automation products. The supplier is also referred to internally as ACME and ACME Corporation. The enterprise supplier master identifies this vendor as SUP-001.</w:t>
      </w:r>
    </w:p>
    <w:p>
      <w:pPr>
        <w:pStyle w:val="Heading1"/>
      </w:pPr>
      <w:r>
        <w:t>Product X</w:t>
      </w:r>
    </w:p>
    <w:p>
      <w:r>
        <w:t>Product X is an industrial sensor used for high-frequency equipment monitoring. Its canonical product identifier is PRD-X. ACME Co. is the preferred supplier.</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Category</w:t>
            </w:r>
          </w:p>
        </w:tc>
        <w:tc>
          <w:tcPr>
            <w:tcW w:type="dxa" w:w="4320"/>
          </w:tcPr>
          <w:p>
            <w:r>
              <w:t>Industrial Sensor</w:t>
            </w:r>
          </w:p>
        </w:tc>
      </w:tr>
      <w:tr>
        <w:tc>
          <w:tcPr>
            <w:tcW w:type="dxa" w:w="4320"/>
          </w:tcPr>
          <w:p>
            <w:r>
              <w:t>Preferred Supplier</w:t>
            </w:r>
          </w:p>
        </w:tc>
        <w:tc>
          <w:tcPr>
            <w:tcW w:type="dxa" w:w="4320"/>
          </w:tcPr>
          <w:p>
            <w:r>
              <w:t>ACME Co.</w:t>
            </w:r>
          </w:p>
        </w:tc>
      </w:tr>
      <w:tr>
        <w:tc>
          <w:tcPr>
            <w:tcW w:type="dxa" w:w="4320"/>
          </w:tcPr>
          <w:p>
            <w:r>
              <w:t>Contract Coverage</w:t>
            </w:r>
          </w:p>
        </w:tc>
        <w:tc>
          <w:tcPr>
            <w:tcW w:type="dxa" w:w="4320"/>
          </w:tcPr>
          <w:p>
            <w:r>
              <w:t>Master Supply Agreement / CTR-1032</w:t>
            </w:r>
          </w:p>
        </w:tc>
      </w:tr>
      <w:tr>
        <w:tc>
          <w:tcPr>
            <w:tcW w:type="dxa" w:w="4320"/>
          </w:tcPr>
          <w:p>
            <w:r>
              <w:t>Reference Unit Price</w:t>
            </w:r>
          </w:p>
        </w:tc>
        <w:tc>
          <w:tcPr>
            <w:tcW w:type="dxa" w:w="4320"/>
          </w:tcPr>
          <w:p>
            <w:r>
              <w:t>USD 125.00</w:t>
            </w:r>
          </w:p>
        </w:tc>
      </w:tr>
      <w:tr>
        <w:tc>
          <w:tcPr>
            <w:tcW w:type="dxa" w:w="4320"/>
          </w:tcPr>
          <w:p>
            <w:r>
              <w:t>Minimum Order Quantity</w:t>
            </w:r>
          </w:p>
        </w:tc>
        <w:tc>
          <w:tcPr>
            <w:tcW w:type="dxa" w:w="4320"/>
          </w:tcPr>
          <w:p>
            <w:r>
              <w:t>50 units</w:t>
            </w:r>
          </w:p>
        </w:tc>
      </w:tr>
    </w:tbl>
    <w:p>
      <w:pPr>
        <w:pStyle w:val="Heading1"/>
      </w:pPr>
      <w:r>
        <w:t>Product Z</w:t>
      </w:r>
    </w:p>
    <w:p>
      <w:r>
        <w:t>Product Z is an edge gateway for aggregating sensor telemetry. Its canonical product identifier is PRD-Z. Product Z is also supplied by ACME Corporation and is covered by the Master Supply Agreement.</w:t>
      </w:r>
    </w:p>
    <w:p>
      <w:pPr>
        <w:pStyle w:val="Heading1"/>
      </w:pPr>
      <w:r>
        <w:t>Commercial Notes</w:t>
      </w:r>
    </w:p>
    <w:p>
      <w:r>
        <w:t>Under the Master Supply Agreement, delivery for covered products should occur within 15 business days after an accepted purchase order. The supplier must provide a quarterly service performance report. Payment terms referenced by the agreement are Net 30 from receipt of a valid invoice.</w:t>
      </w:r>
    </w:p>
    <w:p>
      <w:pPr>
        <w:pStyle w:val="Heading1"/>
      </w:pPr>
      <w:r>
        <w:t>Knowledge Extraction Hints</w:t>
      </w:r>
    </w:p>
    <w:p>
      <w:r>
        <w:t>This synthetic fixture intentionally uses multiple aliases for the same supplier. A correct knowledge construction process should resolve ACME Co., ACME Corp, ACME, and ACME Corporation to the same canonical supplier where evidence supports the merge.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